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7E03" w14:textId="171425B1" w:rsidR="0015143A" w:rsidRDefault="0015143A">
      <w:pPr>
        <w:rPr>
          <w:color w:val="FFFFFF" w:themeColor="background1"/>
          <w:sz w:val="32"/>
          <w:szCs w:val="32"/>
        </w:rPr>
      </w:pPr>
      <w:r w:rsidRPr="0015143A">
        <w:rPr>
          <w:noProof/>
          <w:color w:val="FFFFFF" w:themeColor="background1"/>
          <w:sz w:val="32"/>
          <w:szCs w:val="32"/>
        </w:rPr>
        <mc:AlternateContent>
          <mc:Choice Requires="wps">
            <w:drawing>
              <wp:anchor distT="0" distB="0" distL="114300" distR="114300" simplePos="0" relativeHeight="251659264" behindDoc="1" locked="0" layoutInCell="1" allowOverlap="1" wp14:anchorId="236BC2E8" wp14:editId="614B9AE4">
                <wp:simplePos x="0" y="0"/>
                <wp:positionH relativeFrom="page">
                  <wp:align>right</wp:align>
                </wp:positionH>
                <wp:positionV relativeFrom="paragraph">
                  <wp:posOffset>-897255</wp:posOffset>
                </wp:positionV>
                <wp:extent cx="7772400" cy="1114425"/>
                <wp:effectExtent l="0" t="0" r="0" b="952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114425"/>
                        </a:xfrm>
                        <a:prstGeom prst="rect">
                          <a:avLst/>
                        </a:prstGeom>
                        <a:gradFill flip="none" rotWithShape="1">
                          <a:gsLst>
                            <a:gs pos="25000">
                              <a:srgbClr val="002855"/>
                            </a:gs>
                            <a:gs pos="100000">
                              <a:srgbClr val="004C97"/>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D7D7A" w14:textId="19F32D35" w:rsidR="0015143A" w:rsidRPr="0015143A" w:rsidRDefault="00021E1D" w:rsidP="0015143A">
                            <w:pPr>
                              <w:ind w:left="720"/>
                              <w:rPr>
                                <w:sz w:val="44"/>
                                <w:szCs w:val="44"/>
                              </w:rPr>
                            </w:pPr>
                            <w:r>
                              <w:rPr>
                                <w:sz w:val="44"/>
                                <w:szCs w:val="44"/>
                              </w:rPr>
                              <w:t xml:space="preserve">2023 Brooks </w:t>
                            </w:r>
                            <w:r w:rsidR="00D476B9">
                              <w:rPr>
                                <w:sz w:val="44"/>
                                <w:szCs w:val="44"/>
                              </w:rPr>
                              <w:t xml:space="preserve">Case </w:t>
                            </w:r>
                            <w:r>
                              <w:rPr>
                                <w:sz w:val="44"/>
                                <w:szCs w:val="44"/>
                              </w:rPr>
                              <w:t xml:space="preserve">Competition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BC2E8" id="Rectangle 14" o:spid="_x0000_s1026" alt="&quot;&quot;" style="position:absolute;margin-left:560.8pt;margin-top:-70.65pt;width:612pt;height:87.7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" fillcolor="#002855" stroked="f" strokeweight="1pt">
                <v:fill color2="#004c97" rotate="t" angle="135" colors="0 #002855;.25 #002855" focus="100%" type="gradient">
                  <o:fill v:ext="view" type="gradientUnscaled"/>
                </v:fill>
                <v:textbox>
                  <w:txbxContent>
                    <w:p w14:paraId="5F2D7D7A" w14:textId="19F32D35" w:rsidR="0015143A" w:rsidRPr="0015143A" w:rsidRDefault="00021E1D" w:rsidP="0015143A">
                      <w:pPr>
                        <w:ind w:left="720"/>
                        <w:rPr>
                          <w:sz w:val="44"/>
                          <w:szCs w:val="44"/>
                        </w:rPr>
                      </w:pPr>
                      <w:r>
                        <w:rPr>
                          <w:sz w:val="44"/>
                          <w:szCs w:val="44"/>
                        </w:rPr>
                        <w:t xml:space="preserve">2023 Brooks </w:t>
                      </w:r>
                      <w:r w:rsidR="00D476B9">
                        <w:rPr>
                          <w:sz w:val="44"/>
                          <w:szCs w:val="44"/>
                        </w:rPr>
                        <w:t xml:space="preserve">Case </w:t>
                      </w:r>
                      <w:r>
                        <w:rPr>
                          <w:sz w:val="44"/>
                          <w:szCs w:val="44"/>
                        </w:rPr>
                        <w:t xml:space="preserve">Competition </w:t>
                      </w:r>
                    </w:p>
                  </w:txbxContent>
                </v:textbox>
                <w10:wrap anchorx="page"/>
              </v:rect>
            </w:pict>
          </mc:Fallback>
        </mc:AlternateContent>
      </w:r>
    </w:p>
    <w:p w14:paraId="48B20190" w14:textId="4891F1FE" w:rsidR="00BA0EED" w:rsidRPr="00021E1D" w:rsidRDefault="005C6A87" w:rsidP="00C6191B">
      <w:pPr>
        <w:pStyle w:val="NoSpacing"/>
        <w:spacing w:after="120"/>
        <w:rPr>
          <w:b/>
          <w:bCs/>
          <w:sz w:val="28"/>
          <w:szCs w:val="28"/>
        </w:rPr>
      </w:pPr>
      <w:r w:rsidRPr="00021E1D">
        <w:rPr>
          <w:b/>
          <w:bCs/>
          <w:sz w:val="28"/>
          <w:szCs w:val="28"/>
        </w:rPr>
        <w:t>Case Study Overview</w:t>
      </w:r>
    </w:p>
    <w:p w14:paraId="7CA6474B" w14:textId="0BB562D8" w:rsidR="0015143A" w:rsidRDefault="004773AE" w:rsidP="0015143A">
      <w:pPr>
        <w:pStyle w:val="NoSpacing"/>
      </w:pPr>
      <w:r>
        <w:t xml:space="preserve">Principal Financial Group </w:t>
      </w:r>
      <w:r w:rsidR="00FD67EA">
        <w:t>(N</w:t>
      </w:r>
      <w:r w:rsidR="00934DD0">
        <w:t>asdaq</w:t>
      </w:r>
      <w:r w:rsidR="00FD67EA">
        <w:t xml:space="preserve">: PFG) understands the </w:t>
      </w:r>
      <w:r w:rsidR="002A7A38">
        <w:t xml:space="preserve">strategic </w:t>
      </w:r>
      <w:r w:rsidR="00FD67EA">
        <w:t>importance of Environmental Social and Governance</w:t>
      </w:r>
      <w:r w:rsidR="002A7A38">
        <w:t xml:space="preserve"> (“ESG”)</w:t>
      </w:r>
      <w:r w:rsidR="00FD67EA">
        <w:t xml:space="preserve"> considerations </w:t>
      </w:r>
      <w:r w:rsidR="002A7A38">
        <w:t xml:space="preserve">for their </w:t>
      </w:r>
      <w:r w:rsidR="0066096D">
        <w:t>institutional</w:t>
      </w:r>
      <w:r w:rsidR="002A7A38">
        <w:t xml:space="preserve"> asset management business</w:t>
      </w:r>
      <w:r w:rsidR="00300F02">
        <w:t>, which is ranked among the top 30 based on assets under management (AUM).</w:t>
      </w:r>
      <w:r w:rsidR="002A7A38">
        <w:t xml:space="preserve"> </w:t>
      </w:r>
      <w:r w:rsidR="007D2F49">
        <w:t>The company has identified two potential acquisition targets they believe have</w:t>
      </w:r>
      <w:r w:rsidR="000008AA">
        <w:t xml:space="preserve"> the</w:t>
      </w:r>
      <w:r w:rsidR="007D2F49">
        <w:t xml:space="preserve"> potential to accelerate</w:t>
      </w:r>
      <w:r w:rsidR="00C154EC">
        <w:t xml:space="preserve"> </w:t>
      </w:r>
      <w:r w:rsidR="008F09BB">
        <w:t xml:space="preserve">growth through market share </w:t>
      </w:r>
      <w:r w:rsidR="003A46D4">
        <w:t>capture</w:t>
      </w:r>
      <w:r w:rsidR="000008AA">
        <w:t>.  Doing so would enable</w:t>
      </w:r>
      <w:r w:rsidR="003A46D4">
        <w:t xml:space="preserve"> </w:t>
      </w:r>
      <w:r w:rsidR="002B5E08">
        <w:t>the company</w:t>
      </w:r>
      <w:r w:rsidR="000008AA">
        <w:t xml:space="preserve"> to enhance their</w:t>
      </w:r>
      <w:r w:rsidR="002B5E08">
        <w:t xml:space="preserve"> </w:t>
      </w:r>
      <w:r w:rsidR="00CC738B">
        <w:t>reputation</w:t>
      </w:r>
      <w:r w:rsidR="002B5E08">
        <w:t xml:space="preserve"> as a</w:t>
      </w:r>
      <w:r w:rsidR="00314E7C">
        <w:t xml:space="preserve">n </w:t>
      </w:r>
      <w:r w:rsidR="00D50422">
        <w:t>ESG asset manager</w:t>
      </w:r>
      <w:r w:rsidR="00CC738B">
        <w:t xml:space="preserve"> committed to sustainable business practices</w:t>
      </w:r>
      <w:r w:rsidR="00CA2325">
        <w:t xml:space="preserve"> and asset selection.</w:t>
      </w:r>
      <w:r w:rsidR="0055080D">
        <w:t xml:space="preserve">  </w:t>
      </w:r>
      <w:r w:rsidR="00144B14">
        <w:t>Principal would also like to evaluate potential synergies from combining the business.</w:t>
      </w:r>
    </w:p>
    <w:p w14:paraId="3A027BB3" w14:textId="0C506682" w:rsidR="00CA2325" w:rsidRDefault="00CA2325" w:rsidP="0015143A">
      <w:pPr>
        <w:pStyle w:val="NoSpacing"/>
      </w:pPr>
    </w:p>
    <w:p w14:paraId="037952F6" w14:textId="3DF54442" w:rsidR="00CA2325" w:rsidRPr="0015044E" w:rsidRDefault="00CA2325" w:rsidP="0015143A">
      <w:pPr>
        <w:pStyle w:val="NoSpacing"/>
      </w:pPr>
      <w:r>
        <w:t xml:space="preserve">As CFO of the company, you and your team </w:t>
      </w:r>
      <w:r w:rsidR="00900C45">
        <w:t xml:space="preserve">are responsible for vetting and </w:t>
      </w:r>
      <w:r w:rsidR="00956E29">
        <w:t xml:space="preserve">recommending a path forward to Principal’s </w:t>
      </w:r>
      <w:r w:rsidR="002B7CB9">
        <w:t xml:space="preserve">senior </w:t>
      </w:r>
      <w:r w:rsidR="00956E29">
        <w:t xml:space="preserve">management and </w:t>
      </w:r>
      <w:r w:rsidR="004F7EEC">
        <w:t>B</w:t>
      </w:r>
      <w:r w:rsidR="00956E29">
        <w:t xml:space="preserve">oard of </w:t>
      </w:r>
      <w:r w:rsidR="004F7EEC">
        <w:t>D</w:t>
      </w:r>
      <w:r w:rsidR="00956E29">
        <w:t>irectors.</w:t>
      </w:r>
    </w:p>
    <w:p w14:paraId="075010A3" w14:textId="77777777" w:rsidR="00C6191B" w:rsidRDefault="00C6191B" w:rsidP="0015143A">
      <w:pPr>
        <w:pStyle w:val="NoSpacing"/>
      </w:pPr>
    </w:p>
    <w:p w14:paraId="03044892" w14:textId="2E1F2F80" w:rsidR="00064CB3" w:rsidRPr="00021E1D" w:rsidRDefault="00064CB3" w:rsidP="0015143A">
      <w:pPr>
        <w:pStyle w:val="NoSpacing"/>
        <w:rPr>
          <w:b/>
          <w:bCs/>
        </w:rPr>
      </w:pPr>
      <w:r w:rsidRPr="00021E1D">
        <w:rPr>
          <w:b/>
          <w:bCs/>
        </w:rPr>
        <w:t>Background</w:t>
      </w:r>
      <w:r w:rsidR="0090166A">
        <w:rPr>
          <w:b/>
          <w:bCs/>
        </w:rPr>
        <w:t>:</w:t>
      </w:r>
    </w:p>
    <w:p w14:paraId="6213D27A" w14:textId="77777777" w:rsidR="004F7EEC" w:rsidRDefault="004F7EEC" w:rsidP="0015143A">
      <w:pPr>
        <w:pStyle w:val="NoSpacing"/>
      </w:pPr>
    </w:p>
    <w:p w14:paraId="69806A9A" w14:textId="4B44D56A" w:rsidR="004F7EEC" w:rsidRDefault="004F7EEC" w:rsidP="0015143A">
      <w:pPr>
        <w:pStyle w:val="NoSpacing"/>
      </w:pPr>
      <w:r>
        <w:t xml:space="preserve">The acquisition targets are </w:t>
      </w:r>
      <w:r>
        <w:rPr>
          <w:i/>
          <w:iCs/>
        </w:rPr>
        <w:t>Footprint</w:t>
      </w:r>
      <w:r>
        <w:t xml:space="preserve"> and </w:t>
      </w:r>
      <w:r>
        <w:rPr>
          <w:i/>
          <w:iCs/>
        </w:rPr>
        <w:t>Quant</w:t>
      </w:r>
      <w:r w:rsidR="0077035B">
        <w:t xml:space="preserve">, for which company overviews for each are provided separately.  </w:t>
      </w:r>
      <w:r w:rsidR="00197D34">
        <w:t>In addition, each target is discussed in turn below with respect to several dimensions:</w:t>
      </w:r>
    </w:p>
    <w:p w14:paraId="0800EA1D" w14:textId="77777777" w:rsidR="00931998" w:rsidRDefault="00931998" w:rsidP="0015143A">
      <w:pPr>
        <w:pStyle w:val="NoSpacing"/>
      </w:pPr>
    </w:p>
    <w:p w14:paraId="5214DD03" w14:textId="2475DAE3" w:rsidR="00931998" w:rsidRDefault="00931998" w:rsidP="00F856FB">
      <w:pPr>
        <w:pStyle w:val="NoSpacing"/>
        <w:rPr>
          <w:b/>
          <w:bCs/>
        </w:rPr>
      </w:pPr>
      <w:r>
        <w:rPr>
          <w:b/>
          <w:bCs/>
        </w:rPr>
        <w:t>General Information:</w:t>
      </w:r>
    </w:p>
    <w:p w14:paraId="36285162" w14:textId="77777777" w:rsidR="00E43272" w:rsidRPr="00F856FB" w:rsidRDefault="00E43272" w:rsidP="00F856FB">
      <w:pPr>
        <w:pStyle w:val="NoSpacing"/>
        <w:rPr>
          <w:b/>
          <w:bCs/>
        </w:rPr>
      </w:pPr>
    </w:p>
    <w:p w14:paraId="15AAED6E" w14:textId="77777777" w:rsidR="00BA4383" w:rsidRPr="00951546" w:rsidRDefault="00BA4383" w:rsidP="00BA4383">
      <w:pPr>
        <w:pStyle w:val="ListParagraph"/>
        <w:numPr>
          <w:ilvl w:val="0"/>
          <w:numId w:val="11"/>
        </w:numPr>
        <w:spacing w:after="0"/>
        <w:ind w:left="360"/>
        <w:rPr>
          <w:b/>
          <w:bCs/>
        </w:rPr>
      </w:pPr>
      <w:r w:rsidRPr="00951546">
        <w:rPr>
          <w:b/>
          <w:bCs/>
        </w:rPr>
        <w:t xml:space="preserve">Why </w:t>
      </w:r>
      <w:r>
        <w:rPr>
          <w:b/>
          <w:bCs/>
        </w:rPr>
        <w:t>is the business for sale</w:t>
      </w:r>
      <w:r w:rsidRPr="00951546">
        <w:rPr>
          <w:b/>
          <w:bCs/>
        </w:rPr>
        <w:t xml:space="preserve">? </w:t>
      </w:r>
    </w:p>
    <w:p w14:paraId="596345F6" w14:textId="2307012C" w:rsidR="00BA4383" w:rsidRDefault="00BA4383" w:rsidP="00BA4383">
      <w:pPr>
        <w:pStyle w:val="ListParagraph"/>
        <w:numPr>
          <w:ilvl w:val="1"/>
          <w:numId w:val="11"/>
        </w:numPr>
        <w:spacing w:after="0"/>
        <w:ind w:left="720"/>
      </w:pPr>
      <w:r w:rsidRPr="00951546">
        <w:rPr>
          <w:i/>
          <w:iCs/>
        </w:rPr>
        <w:t>Footprint</w:t>
      </w:r>
      <w:r>
        <w:t xml:space="preserve"> – A significant percentage of the partners at Footprint are planning their retirement from the industry.  The management team sees an opportunity to partner with a larger asset manager to achieve scale efficiencies that will be needed with </w:t>
      </w:r>
      <w:r w:rsidR="00196EF3">
        <w:t>potential</w:t>
      </w:r>
      <w:r>
        <w:t xml:space="preserve"> fee rate compression.</w:t>
      </w:r>
    </w:p>
    <w:p w14:paraId="507FE6A0" w14:textId="77777777" w:rsidR="00BA4383" w:rsidRDefault="00BA4383" w:rsidP="00BA4383">
      <w:pPr>
        <w:pStyle w:val="ListParagraph"/>
        <w:numPr>
          <w:ilvl w:val="1"/>
          <w:numId w:val="11"/>
        </w:numPr>
        <w:spacing w:after="0"/>
        <w:ind w:left="720"/>
      </w:pPr>
      <w:r w:rsidRPr="00951546">
        <w:rPr>
          <w:i/>
          <w:iCs/>
        </w:rPr>
        <w:t>Quant</w:t>
      </w:r>
      <w:r>
        <w:t xml:space="preserve"> – The management team is looking for a strategic partner to leverage their ESG investment fund capabilities and bring new distribution channels to grow and diversify its customer base.</w:t>
      </w:r>
    </w:p>
    <w:p w14:paraId="55BF766B" w14:textId="77777777" w:rsidR="00BA4383" w:rsidRDefault="00BA4383" w:rsidP="00BA4383">
      <w:pPr>
        <w:pStyle w:val="ListParagraph"/>
        <w:spacing w:after="0"/>
        <w:ind w:left="360"/>
      </w:pPr>
    </w:p>
    <w:p w14:paraId="2D2ECF19" w14:textId="77777777" w:rsidR="00BA4383" w:rsidRDefault="00BA4383" w:rsidP="00BA4383">
      <w:pPr>
        <w:pStyle w:val="ListParagraph"/>
        <w:numPr>
          <w:ilvl w:val="0"/>
          <w:numId w:val="11"/>
        </w:numPr>
        <w:spacing w:after="0"/>
        <w:ind w:left="360"/>
        <w:rPr>
          <w:b/>
          <w:bCs/>
        </w:rPr>
      </w:pPr>
      <w:r>
        <w:rPr>
          <w:b/>
          <w:bCs/>
        </w:rPr>
        <w:t>What is the ownership structure of the business?</w:t>
      </w:r>
    </w:p>
    <w:p w14:paraId="77CBBEF5" w14:textId="406CD897" w:rsidR="00BA4383" w:rsidRPr="00BA4383" w:rsidRDefault="00BA4383" w:rsidP="00BA4383">
      <w:pPr>
        <w:pStyle w:val="ListParagraph"/>
        <w:numPr>
          <w:ilvl w:val="1"/>
          <w:numId w:val="11"/>
        </w:numPr>
        <w:spacing w:after="0"/>
        <w:ind w:left="810"/>
        <w:rPr>
          <w:b/>
          <w:bCs/>
        </w:rPr>
      </w:pPr>
      <w:r w:rsidRPr="00BA4383">
        <w:rPr>
          <w:i/>
          <w:iCs/>
        </w:rPr>
        <w:t>Footprint</w:t>
      </w:r>
      <w:r w:rsidRPr="00BA4383">
        <w:rPr>
          <w:b/>
          <w:bCs/>
        </w:rPr>
        <w:t xml:space="preserve"> </w:t>
      </w:r>
      <w:r>
        <w:t>– The majority of Footprint owners are current and former employees</w:t>
      </w:r>
      <w:r w:rsidR="00196EF3">
        <w:t>, with</w:t>
      </w:r>
      <w:r>
        <w:t xml:space="preserve"> </w:t>
      </w:r>
      <w:r w:rsidR="00196EF3">
        <w:t>l</w:t>
      </w:r>
      <w:r>
        <w:t>ess than 20% of the firm is owned by other parties.  The group of current and former partners controls over 60% of the firm.</w:t>
      </w:r>
    </w:p>
    <w:p w14:paraId="5E69A4C7" w14:textId="4F289E7A" w:rsidR="00BA4383" w:rsidRPr="00D84527" w:rsidRDefault="00BA4383" w:rsidP="00BA4383">
      <w:pPr>
        <w:pStyle w:val="ListParagraph"/>
        <w:numPr>
          <w:ilvl w:val="1"/>
          <w:numId w:val="11"/>
        </w:numPr>
        <w:spacing w:after="0"/>
        <w:ind w:left="810"/>
      </w:pPr>
      <w:r w:rsidRPr="00BA4383">
        <w:rPr>
          <w:i/>
          <w:iCs/>
        </w:rPr>
        <w:t>Quant</w:t>
      </w:r>
      <w:r w:rsidRPr="00BA4383">
        <w:rPr>
          <w:b/>
          <w:bCs/>
        </w:rPr>
        <w:t xml:space="preserve"> </w:t>
      </w:r>
      <w:r>
        <w:t>– Current and former partners of the company control over 75% of the company.  The remaining share is composed of other employees and certain related parties from the company’s inception.</w:t>
      </w:r>
    </w:p>
    <w:p w14:paraId="15E3562A" w14:textId="77777777" w:rsidR="00BA4383" w:rsidRPr="00D84527" w:rsidRDefault="00BA4383" w:rsidP="00BA4383">
      <w:pPr>
        <w:spacing w:after="0"/>
        <w:ind w:left="360"/>
        <w:rPr>
          <w:b/>
          <w:bCs/>
        </w:rPr>
      </w:pPr>
    </w:p>
    <w:p w14:paraId="4D6D4400" w14:textId="77777777" w:rsidR="00BA4383" w:rsidRPr="00951546" w:rsidRDefault="00BA4383" w:rsidP="00BA4383">
      <w:pPr>
        <w:pStyle w:val="ListParagraph"/>
        <w:numPr>
          <w:ilvl w:val="0"/>
          <w:numId w:val="11"/>
        </w:numPr>
        <w:spacing w:after="0"/>
        <w:ind w:left="360"/>
        <w:rPr>
          <w:b/>
          <w:bCs/>
        </w:rPr>
      </w:pPr>
      <w:r w:rsidRPr="00951546">
        <w:rPr>
          <w:b/>
          <w:bCs/>
        </w:rPr>
        <w:t>Are there any reputational</w:t>
      </w:r>
      <w:r>
        <w:rPr>
          <w:b/>
          <w:bCs/>
        </w:rPr>
        <w:t>,</w:t>
      </w:r>
      <w:r w:rsidRPr="00951546">
        <w:rPr>
          <w:b/>
          <w:bCs/>
        </w:rPr>
        <w:t xml:space="preserve"> legal</w:t>
      </w:r>
      <w:r>
        <w:rPr>
          <w:b/>
          <w:bCs/>
        </w:rPr>
        <w:t>, or regulatory</w:t>
      </w:r>
      <w:r w:rsidRPr="00951546">
        <w:rPr>
          <w:b/>
          <w:bCs/>
        </w:rPr>
        <w:t xml:space="preserve"> issues affecting the company?</w:t>
      </w:r>
    </w:p>
    <w:p w14:paraId="73D69D6C" w14:textId="0E7D400D" w:rsidR="00BA4383" w:rsidRDefault="00BA4383" w:rsidP="00BA4383">
      <w:pPr>
        <w:pStyle w:val="ListParagraph"/>
        <w:numPr>
          <w:ilvl w:val="1"/>
          <w:numId w:val="11"/>
        </w:numPr>
        <w:spacing w:after="0"/>
        <w:ind w:left="900"/>
      </w:pPr>
      <w:r w:rsidRPr="00BA4383">
        <w:rPr>
          <w:i/>
          <w:iCs/>
        </w:rPr>
        <w:t>Footprint</w:t>
      </w:r>
      <w:r>
        <w:t xml:space="preserve"> – </w:t>
      </w:r>
      <w:r w:rsidR="00897587">
        <w:t>There are no outstanding reputation, legal, or regulatory issues.</w:t>
      </w:r>
    </w:p>
    <w:p w14:paraId="0B6227E2" w14:textId="389ACFDD" w:rsidR="00BA4383" w:rsidRDefault="00BA4383" w:rsidP="00BA4383">
      <w:pPr>
        <w:pStyle w:val="ListParagraph"/>
        <w:numPr>
          <w:ilvl w:val="1"/>
          <w:numId w:val="11"/>
        </w:numPr>
        <w:spacing w:after="0"/>
        <w:ind w:left="900"/>
      </w:pPr>
      <w:r w:rsidRPr="00BA4383">
        <w:rPr>
          <w:i/>
          <w:iCs/>
        </w:rPr>
        <w:t>Quant</w:t>
      </w:r>
      <w:r>
        <w:t xml:space="preserve"> – </w:t>
      </w:r>
      <w:r w:rsidR="00897587">
        <w:t>There are no outstanding reputation, legal, or regulatory issues.</w:t>
      </w:r>
    </w:p>
    <w:p w14:paraId="73075A5E" w14:textId="77777777" w:rsidR="005D67AA" w:rsidRDefault="005D67AA" w:rsidP="00F856FB">
      <w:pPr>
        <w:pStyle w:val="NoSpacing"/>
      </w:pPr>
    </w:p>
    <w:p w14:paraId="132B6CC3" w14:textId="5BCBE745" w:rsidR="00BA4383" w:rsidRDefault="00BA4383" w:rsidP="00F856FB">
      <w:pPr>
        <w:pStyle w:val="NoSpacing"/>
        <w:rPr>
          <w:b/>
          <w:bCs/>
        </w:rPr>
      </w:pPr>
      <w:r w:rsidRPr="00541A5F">
        <w:rPr>
          <w:b/>
          <w:bCs/>
        </w:rPr>
        <w:t>Personnel</w:t>
      </w:r>
      <w:r w:rsidR="00F856FB">
        <w:rPr>
          <w:b/>
          <w:bCs/>
        </w:rPr>
        <w:t>:</w:t>
      </w:r>
    </w:p>
    <w:p w14:paraId="3980570D" w14:textId="77777777" w:rsidR="00E43272" w:rsidRPr="00541A5F" w:rsidRDefault="00E43272" w:rsidP="00F856FB">
      <w:pPr>
        <w:pStyle w:val="NoSpacing"/>
        <w:rPr>
          <w:b/>
          <w:bCs/>
        </w:rPr>
      </w:pPr>
    </w:p>
    <w:p w14:paraId="03F825FF" w14:textId="77777777" w:rsidR="00BA4383" w:rsidRPr="00951546" w:rsidRDefault="00BA4383" w:rsidP="00BA4383">
      <w:pPr>
        <w:pStyle w:val="ListParagraph"/>
        <w:numPr>
          <w:ilvl w:val="0"/>
          <w:numId w:val="11"/>
        </w:numPr>
        <w:spacing w:after="0"/>
        <w:ind w:left="360"/>
        <w:rPr>
          <w:b/>
          <w:bCs/>
        </w:rPr>
      </w:pPr>
      <w:r w:rsidRPr="00951546">
        <w:rPr>
          <w:b/>
          <w:bCs/>
        </w:rPr>
        <w:t>What has the company experienced in terms of staff turnover?</w:t>
      </w:r>
    </w:p>
    <w:p w14:paraId="61D6611B" w14:textId="0C97FCE4" w:rsidR="00BA4383" w:rsidRDefault="00BA4383" w:rsidP="00BA4383">
      <w:pPr>
        <w:pStyle w:val="ListParagraph"/>
        <w:numPr>
          <w:ilvl w:val="1"/>
          <w:numId w:val="11"/>
        </w:numPr>
        <w:spacing w:after="0"/>
        <w:ind w:left="720"/>
      </w:pPr>
      <w:r w:rsidRPr="00951546">
        <w:rPr>
          <w:i/>
          <w:iCs/>
        </w:rPr>
        <w:lastRenderedPageBreak/>
        <w:t>Footprint</w:t>
      </w:r>
      <w:r>
        <w:t xml:space="preserve"> – There has been no recent turnover in any key roles.  Footprint prides itself as an industry leader </w:t>
      </w:r>
      <w:r w:rsidR="005D67AA">
        <w:t>for</w:t>
      </w:r>
      <w:r>
        <w:t xml:space="preserve"> tenure of fund managers.</w:t>
      </w:r>
    </w:p>
    <w:p w14:paraId="78582EDC" w14:textId="1DF494D5" w:rsidR="00BA4383" w:rsidRDefault="00BA4383" w:rsidP="00BA4383">
      <w:pPr>
        <w:pStyle w:val="ListParagraph"/>
        <w:numPr>
          <w:ilvl w:val="1"/>
          <w:numId w:val="11"/>
        </w:numPr>
        <w:spacing w:after="0"/>
        <w:ind w:left="720"/>
      </w:pPr>
      <w:r w:rsidRPr="00951546">
        <w:rPr>
          <w:i/>
          <w:iCs/>
        </w:rPr>
        <w:t>Quant</w:t>
      </w:r>
      <w:r>
        <w:t xml:space="preserve"> – In the last nine months, three fund managers left the company.  One founding partner</w:t>
      </w:r>
      <w:r w:rsidR="005C2DD9">
        <w:t xml:space="preserve"> </w:t>
      </w:r>
      <w:r w:rsidR="00B54552">
        <w:t>(</w:t>
      </w:r>
      <w:r w:rsidR="005C2DD9">
        <w:t xml:space="preserve">the </w:t>
      </w:r>
      <w:r>
        <w:t xml:space="preserve">manager </w:t>
      </w:r>
      <w:r w:rsidR="00E93D2D">
        <w:t xml:space="preserve">of the </w:t>
      </w:r>
      <w:r>
        <w:t>Larg</w:t>
      </w:r>
      <w:r w:rsidR="00E93D2D">
        <w:t>e-</w:t>
      </w:r>
      <w:r>
        <w:t>Cap</w:t>
      </w:r>
      <w:r w:rsidR="00E93D2D">
        <w:t xml:space="preserve"> equity</w:t>
      </w:r>
      <w:r>
        <w:t xml:space="preserve"> fund</w:t>
      </w:r>
      <w:r w:rsidR="00B54552">
        <w:t>)</w:t>
      </w:r>
      <w:r>
        <w:t xml:space="preserve"> retired, as part of a transition</w:t>
      </w:r>
      <w:r w:rsidR="00E54F16">
        <w:t xml:space="preserve"> in</w:t>
      </w:r>
      <w:r>
        <w:t xml:space="preserve"> leadership to an assistant fund manager with 13 years of industry experience, including 5 years with the Large Cap fund.  The other two fund manager departures (</w:t>
      </w:r>
      <w:r w:rsidR="00E54F16">
        <w:t xml:space="preserve">relating to the </w:t>
      </w:r>
      <w:proofErr w:type="gramStart"/>
      <w:r w:rsidR="00E54F16">
        <w:t>International</w:t>
      </w:r>
      <w:proofErr w:type="gramEnd"/>
      <w:r>
        <w:t xml:space="preserve"> fund and Bond fund) departed without notice for similar roles at competing firms. </w:t>
      </w:r>
    </w:p>
    <w:p w14:paraId="6A0A96E5" w14:textId="24260074" w:rsidR="00BA4383" w:rsidRDefault="00BA4383" w:rsidP="00BA4383">
      <w:pPr>
        <w:pStyle w:val="ListParagraph"/>
        <w:spacing w:after="0"/>
        <w:ind w:left="360" w:firstLine="45"/>
      </w:pPr>
    </w:p>
    <w:p w14:paraId="334BBB77" w14:textId="77777777" w:rsidR="00BA4383" w:rsidRPr="00951546" w:rsidRDefault="00BA4383" w:rsidP="00BA4383">
      <w:pPr>
        <w:pStyle w:val="ListParagraph"/>
        <w:numPr>
          <w:ilvl w:val="0"/>
          <w:numId w:val="11"/>
        </w:numPr>
        <w:spacing w:after="0"/>
        <w:ind w:left="360"/>
        <w:rPr>
          <w:b/>
          <w:bCs/>
        </w:rPr>
      </w:pPr>
      <w:r w:rsidRPr="00951546">
        <w:rPr>
          <w:b/>
          <w:bCs/>
        </w:rPr>
        <w:t>What will happen to the management team?  Are there certain incentives for retention?</w:t>
      </w:r>
    </w:p>
    <w:p w14:paraId="7B6389C3" w14:textId="77777777" w:rsidR="00BA4383" w:rsidRPr="00951546" w:rsidRDefault="00BA4383" w:rsidP="00BA4383">
      <w:pPr>
        <w:pStyle w:val="ListParagraph"/>
        <w:numPr>
          <w:ilvl w:val="1"/>
          <w:numId w:val="11"/>
        </w:numPr>
        <w:spacing w:after="0"/>
        <w:ind w:left="720"/>
      </w:pPr>
      <w:r w:rsidRPr="00951546">
        <w:rPr>
          <w:i/>
          <w:iCs/>
        </w:rPr>
        <w:t>Footprint</w:t>
      </w:r>
      <w:r w:rsidRPr="00951546">
        <w:t xml:space="preserve"> – The partners with retirement plans in sight are all open to a 2 to 3-year employment commitment as part of the acquisition </w:t>
      </w:r>
      <w:r>
        <w:t>agreement</w:t>
      </w:r>
      <w:r w:rsidRPr="00951546">
        <w:t xml:space="preserve">.  Other key employees would forfeit </w:t>
      </w:r>
      <w:r>
        <w:t xml:space="preserve">a portion of their </w:t>
      </w:r>
      <w:r w:rsidRPr="00951546">
        <w:t>equity-based compensation by leaving the firm</w:t>
      </w:r>
      <w:r>
        <w:t>.</w:t>
      </w:r>
      <w:r w:rsidRPr="00951546">
        <w:t xml:space="preserve"> </w:t>
      </w:r>
      <w:r>
        <w:t xml:space="preserve"> Annual equity awards are subject to a </w:t>
      </w:r>
      <w:r w:rsidRPr="00951546">
        <w:t>3-year vesting period.</w:t>
      </w:r>
    </w:p>
    <w:p w14:paraId="34A8ED42" w14:textId="77777777" w:rsidR="00BA4383" w:rsidRDefault="00BA4383" w:rsidP="00BA4383">
      <w:pPr>
        <w:pStyle w:val="ListParagraph"/>
        <w:numPr>
          <w:ilvl w:val="1"/>
          <w:numId w:val="11"/>
        </w:numPr>
        <w:spacing w:after="0"/>
        <w:ind w:left="720"/>
      </w:pPr>
      <w:r w:rsidRPr="00951546">
        <w:rPr>
          <w:i/>
          <w:iCs/>
        </w:rPr>
        <w:t>Quant</w:t>
      </w:r>
      <w:r>
        <w:rPr>
          <w:b/>
          <w:bCs/>
        </w:rPr>
        <w:t xml:space="preserve"> </w:t>
      </w:r>
      <w:r>
        <w:t>– The firm has not received any notification of additional staff departures.  The fund managers and other key employees have deferred compensation benefits that vest over a 3-year period.</w:t>
      </w:r>
    </w:p>
    <w:p w14:paraId="4FA2DAB6" w14:textId="77777777" w:rsidR="00BA4383" w:rsidRDefault="00BA4383" w:rsidP="00BA4383">
      <w:pPr>
        <w:pStyle w:val="NoSpacing"/>
        <w:ind w:left="360"/>
      </w:pPr>
    </w:p>
    <w:p w14:paraId="56840649" w14:textId="79FCEFC1" w:rsidR="00BA4383" w:rsidRDefault="00BA4383" w:rsidP="00F856FB">
      <w:pPr>
        <w:pStyle w:val="NoSpacing"/>
        <w:rPr>
          <w:b/>
          <w:bCs/>
        </w:rPr>
      </w:pPr>
      <w:r w:rsidRPr="00541A5F">
        <w:rPr>
          <w:b/>
          <w:bCs/>
        </w:rPr>
        <w:t>Financial/operational:</w:t>
      </w:r>
    </w:p>
    <w:p w14:paraId="71BB461E" w14:textId="77777777" w:rsidR="00E43272" w:rsidRPr="00541A5F" w:rsidRDefault="00E43272" w:rsidP="00F856FB">
      <w:pPr>
        <w:pStyle w:val="NoSpacing"/>
        <w:rPr>
          <w:b/>
          <w:bCs/>
        </w:rPr>
      </w:pPr>
    </w:p>
    <w:p w14:paraId="21F2003A" w14:textId="77777777" w:rsidR="00BA4383" w:rsidRDefault="00BA4383" w:rsidP="00BA4383">
      <w:pPr>
        <w:pStyle w:val="ListParagraph"/>
        <w:numPr>
          <w:ilvl w:val="0"/>
          <w:numId w:val="11"/>
        </w:numPr>
        <w:spacing w:after="0"/>
        <w:ind w:left="360"/>
        <w:rPr>
          <w:b/>
          <w:bCs/>
        </w:rPr>
      </w:pPr>
      <w:r>
        <w:rPr>
          <w:b/>
          <w:bCs/>
        </w:rPr>
        <w:t>What is the composition of customers?</w:t>
      </w:r>
    </w:p>
    <w:p w14:paraId="5BFF8583" w14:textId="77777777" w:rsidR="00BA4383" w:rsidRPr="00077A93" w:rsidRDefault="00BA4383" w:rsidP="00BA4383">
      <w:pPr>
        <w:pStyle w:val="ListParagraph"/>
        <w:numPr>
          <w:ilvl w:val="1"/>
          <w:numId w:val="11"/>
        </w:numPr>
        <w:spacing w:after="0"/>
        <w:ind w:left="720"/>
      </w:pPr>
      <w:r w:rsidRPr="00077A93">
        <w:rPr>
          <w:i/>
          <w:iCs/>
        </w:rPr>
        <w:t>Footprint</w:t>
      </w:r>
      <w:r>
        <w:t xml:space="preserve"> – The firm segments customers by institutional investors (38% of AUM), retail investors (34% of AUM), small-medium businesses (17% of AUM), and high-net-worth investors (11% of AUM)</w:t>
      </w:r>
    </w:p>
    <w:p w14:paraId="74B1E7A0" w14:textId="77777777" w:rsidR="00BA4383" w:rsidRDefault="00BA4383" w:rsidP="00BA4383">
      <w:pPr>
        <w:pStyle w:val="ListParagraph"/>
        <w:numPr>
          <w:ilvl w:val="1"/>
          <w:numId w:val="11"/>
        </w:numPr>
        <w:spacing w:after="0"/>
        <w:ind w:left="720"/>
      </w:pPr>
      <w:r w:rsidRPr="00077A93">
        <w:rPr>
          <w:i/>
          <w:iCs/>
        </w:rPr>
        <w:t>Quant</w:t>
      </w:r>
      <w:r>
        <w:t xml:space="preserve"> – The majority of Quant’s AUM is concentrated in institutional investors (61% of AUM) and ultra-high-net-worth investors (27% of AUM).  The remaining AUM is primarily composed of retail investors.</w:t>
      </w:r>
    </w:p>
    <w:p w14:paraId="680FDAAF" w14:textId="77777777" w:rsidR="00BA4383" w:rsidRPr="00077A93" w:rsidRDefault="00BA4383" w:rsidP="00BA4383">
      <w:pPr>
        <w:pStyle w:val="ListParagraph"/>
        <w:spacing w:after="0"/>
        <w:ind w:left="360"/>
      </w:pPr>
    </w:p>
    <w:p w14:paraId="43456BA0" w14:textId="77777777" w:rsidR="00BA4383" w:rsidRPr="00951546" w:rsidRDefault="00BA4383" w:rsidP="00BA4383">
      <w:pPr>
        <w:pStyle w:val="ListParagraph"/>
        <w:numPr>
          <w:ilvl w:val="0"/>
          <w:numId w:val="11"/>
        </w:numPr>
        <w:spacing w:after="0"/>
        <w:ind w:left="360"/>
        <w:rPr>
          <w:b/>
          <w:bCs/>
        </w:rPr>
      </w:pPr>
      <w:r w:rsidRPr="00951546">
        <w:rPr>
          <w:b/>
          <w:bCs/>
        </w:rPr>
        <w:t xml:space="preserve">Are any changes planned to the company’s fund offerings? </w:t>
      </w:r>
    </w:p>
    <w:p w14:paraId="593EC339" w14:textId="61DA4022" w:rsidR="00BA4383" w:rsidRDefault="00BA4383" w:rsidP="00BA4383">
      <w:pPr>
        <w:pStyle w:val="ListParagraph"/>
        <w:numPr>
          <w:ilvl w:val="1"/>
          <w:numId w:val="11"/>
        </w:numPr>
        <w:spacing w:after="0"/>
        <w:ind w:left="720"/>
      </w:pPr>
      <w:r w:rsidRPr="00951546">
        <w:rPr>
          <w:i/>
          <w:iCs/>
        </w:rPr>
        <w:t>Footprint</w:t>
      </w:r>
      <w:r>
        <w:t xml:space="preserve"> – The management team aspires to expand by creating new funds in international equity and international debt.  The company is in the initial planning phase and has not made any </w:t>
      </w:r>
      <w:r w:rsidR="00A61CAB">
        <w:t>additions to staff.</w:t>
      </w:r>
    </w:p>
    <w:p w14:paraId="57D44356" w14:textId="77777777" w:rsidR="00BA4383" w:rsidRDefault="00BA4383" w:rsidP="00BA4383">
      <w:pPr>
        <w:pStyle w:val="ListParagraph"/>
        <w:numPr>
          <w:ilvl w:val="1"/>
          <w:numId w:val="11"/>
        </w:numPr>
        <w:spacing w:after="0"/>
        <w:ind w:left="720"/>
      </w:pPr>
      <w:r w:rsidRPr="00951546">
        <w:rPr>
          <w:i/>
          <w:iCs/>
        </w:rPr>
        <w:t>Quant</w:t>
      </w:r>
      <w:r>
        <w:t xml:space="preserve"> – No changes to the fund lineup are planned.</w:t>
      </w:r>
    </w:p>
    <w:p w14:paraId="05282E16" w14:textId="77777777" w:rsidR="00BA4383" w:rsidRDefault="00BA4383" w:rsidP="00BA4383">
      <w:pPr>
        <w:pStyle w:val="ListParagraph"/>
        <w:spacing w:after="0"/>
        <w:ind w:left="360"/>
      </w:pPr>
    </w:p>
    <w:p w14:paraId="717CAE6C" w14:textId="77777777" w:rsidR="00BA4383" w:rsidRPr="00951546" w:rsidRDefault="00BA4383" w:rsidP="00BA4383">
      <w:pPr>
        <w:pStyle w:val="ListParagraph"/>
        <w:numPr>
          <w:ilvl w:val="0"/>
          <w:numId w:val="11"/>
        </w:numPr>
        <w:spacing w:after="0"/>
        <w:ind w:left="360"/>
        <w:rPr>
          <w:b/>
          <w:bCs/>
        </w:rPr>
      </w:pPr>
      <w:r w:rsidRPr="00951546">
        <w:rPr>
          <w:b/>
          <w:bCs/>
        </w:rPr>
        <w:t>Are there any recent and/or anticipated outflows from the funds?</w:t>
      </w:r>
    </w:p>
    <w:p w14:paraId="1616BE5F" w14:textId="77777777" w:rsidR="00F856FB" w:rsidRDefault="00BA4383" w:rsidP="00F856FB">
      <w:pPr>
        <w:pStyle w:val="ListParagraph"/>
        <w:numPr>
          <w:ilvl w:val="1"/>
          <w:numId w:val="11"/>
        </w:numPr>
        <w:spacing w:after="0"/>
        <w:ind w:left="720"/>
      </w:pPr>
      <w:r w:rsidRPr="00951546">
        <w:rPr>
          <w:i/>
          <w:iCs/>
        </w:rPr>
        <w:t>Footprint</w:t>
      </w:r>
      <w:r>
        <w:t xml:space="preserve"> – Since year-end, cash flows have been positive and there have been no formal notifications of planned platform/customer withdrawals.  The management team has been part of ongoing fee discussions with certain customers who have stated that if fee rate concessions are not made, they will be transitioning to another asset manager for their ESG fund offerings.</w:t>
      </w:r>
    </w:p>
    <w:p w14:paraId="4165BE5F" w14:textId="37997B2A" w:rsidR="00BA4383" w:rsidRDefault="00BA4383" w:rsidP="00F856FB">
      <w:pPr>
        <w:pStyle w:val="ListParagraph"/>
        <w:numPr>
          <w:ilvl w:val="1"/>
          <w:numId w:val="11"/>
        </w:numPr>
        <w:spacing w:after="0"/>
        <w:ind w:left="720"/>
      </w:pPr>
      <w:r w:rsidRPr="00F856FB">
        <w:rPr>
          <w:i/>
          <w:iCs/>
        </w:rPr>
        <w:t>Quant</w:t>
      </w:r>
      <w:r w:rsidRPr="00F856FB">
        <w:rPr>
          <w:b/>
          <w:bCs/>
        </w:rPr>
        <w:t xml:space="preserve"> </w:t>
      </w:r>
      <w:r>
        <w:t xml:space="preserve">– Since year-end, </w:t>
      </w:r>
      <w:r w:rsidR="00E1202C">
        <w:t xml:space="preserve">they </w:t>
      </w:r>
      <w:r>
        <w:t xml:space="preserve">lost one key customer </w:t>
      </w:r>
      <w:r w:rsidR="00E1202C">
        <w:t>from their</w:t>
      </w:r>
      <w:r>
        <w:t xml:space="preserve"> Bond fund</w:t>
      </w:r>
      <w:r w:rsidR="00E1202C">
        <w:t>, which</w:t>
      </w:r>
      <w:r>
        <w:t xml:space="preserve"> </w:t>
      </w:r>
      <w:r w:rsidR="00E1202C">
        <w:t xml:space="preserve">had </w:t>
      </w:r>
      <w:r>
        <w:t xml:space="preserve">AUM </w:t>
      </w:r>
      <w:r w:rsidR="00E1202C">
        <w:t xml:space="preserve">of </w:t>
      </w:r>
      <w:r>
        <w:t xml:space="preserve">approximately $120M.  The reason for the termination was the unexpected departure of the fund manager. </w:t>
      </w:r>
    </w:p>
    <w:p w14:paraId="774513E1" w14:textId="211A0CF1" w:rsidR="00BA4383" w:rsidRDefault="00BA4383" w:rsidP="00BA4383">
      <w:pPr>
        <w:spacing w:after="0"/>
        <w:ind w:left="360"/>
      </w:pPr>
    </w:p>
    <w:p w14:paraId="7F6F4659" w14:textId="6AEACB80" w:rsidR="00021E1D" w:rsidRDefault="00021E1D" w:rsidP="00BA4383">
      <w:pPr>
        <w:spacing w:after="0"/>
        <w:ind w:left="360"/>
      </w:pPr>
    </w:p>
    <w:p w14:paraId="4C8DE16A" w14:textId="77777777" w:rsidR="00021E1D" w:rsidRDefault="00021E1D" w:rsidP="00BA4383">
      <w:pPr>
        <w:spacing w:after="0"/>
        <w:ind w:left="360"/>
      </w:pPr>
    </w:p>
    <w:p w14:paraId="3018A8FB" w14:textId="77777777" w:rsidR="00BA4383" w:rsidRPr="00951546" w:rsidRDefault="00BA4383" w:rsidP="00BA4383">
      <w:pPr>
        <w:pStyle w:val="ListParagraph"/>
        <w:numPr>
          <w:ilvl w:val="0"/>
          <w:numId w:val="11"/>
        </w:numPr>
        <w:spacing w:after="0"/>
        <w:ind w:left="360"/>
        <w:rPr>
          <w:b/>
          <w:bCs/>
        </w:rPr>
      </w:pPr>
      <w:r w:rsidRPr="00951546">
        <w:rPr>
          <w:b/>
          <w:bCs/>
        </w:rPr>
        <w:lastRenderedPageBreak/>
        <w:t>What is the outlook/pipeline of future customers/sales?</w:t>
      </w:r>
    </w:p>
    <w:p w14:paraId="3D1783F8" w14:textId="04195A99" w:rsidR="00BA4383" w:rsidRDefault="00BA4383" w:rsidP="00BA4383">
      <w:pPr>
        <w:pStyle w:val="ListParagraph"/>
        <w:numPr>
          <w:ilvl w:val="1"/>
          <w:numId w:val="11"/>
        </w:numPr>
        <w:spacing w:after="0"/>
        <w:ind w:left="720"/>
      </w:pPr>
      <w:r w:rsidRPr="00951546">
        <w:rPr>
          <w:i/>
          <w:iCs/>
        </w:rPr>
        <w:t>Footprint</w:t>
      </w:r>
      <w:r>
        <w:t xml:space="preserve"> – Cash flows from current clients ha</w:t>
      </w:r>
      <w:r w:rsidR="00DB272B">
        <w:t>ve</w:t>
      </w:r>
      <w:r>
        <w:t xml:space="preserve"> been solid during the first quarter</w:t>
      </w:r>
      <w:r w:rsidR="00DB272B">
        <w:t>.  H</w:t>
      </w:r>
      <w:r>
        <w:t>owever, there have been no new meaningful customers.  In discussions with potential new customers, the biggest reservation is the fee rate schedule.</w:t>
      </w:r>
    </w:p>
    <w:p w14:paraId="0E280EC8" w14:textId="77777777" w:rsidR="004B03D9" w:rsidRDefault="00BA4383" w:rsidP="00BA4383">
      <w:pPr>
        <w:pStyle w:val="ListParagraph"/>
        <w:numPr>
          <w:ilvl w:val="1"/>
          <w:numId w:val="11"/>
        </w:numPr>
        <w:spacing w:after="0"/>
        <w:ind w:left="720"/>
      </w:pPr>
      <w:r w:rsidRPr="00951546">
        <w:rPr>
          <w:i/>
          <w:iCs/>
        </w:rPr>
        <w:t>Quant</w:t>
      </w:r>
      <w:r>
        <w:rPr>
          <w:b/>
          <w:bCs/>
        </w:rPr>
        <w:t xml:space="preserve"> </w:t>
      </w:r>
      <w:r>
        <w:t xml:space="preserve">– The company has experienced positive cash flows since the beginning of the year, </w:t>
      </w:r>
    </w:p>
    <w:p w14:paraId="4A2E9251" w14:textId="4711BA62" w:rsidR="00BA4383" w:rsidRDefault="00BA4383" w:rsidP="004B03D9">
      <w:pPr>
        <w:pStyle w:val="ListParagraph"/>
        <w:spacing w:after="0"/>
      </w:pPr>
      <w:r>
        <w:t>primarily from existing customers.</w:t>
      </w:r>
    </w:p>
    <w:p w14:paraId="57B30770" w14:textId="77777777" w:rsidR="00DB272B" w:rsidRDefault="00DB272B" w:rsidP="00BA4383">
      <w:pPr>
        <w:pStyle w:val="NoSpacing"/>
        <w:ind w:left="360"/>
        <w:rPr>
          <w:u w:val="single"/>
        </w:rPr>
      </w:pPr>
    </w:p>
    <w:p w14:paraId="71F51D00" w14:textId="77777777" w:rsidR="00021E1D" w:rsidRDefault="00021E1D" w:rsidP="004B03D9">
      <w:pPr>
        <w:pStyle w:val="NoSpacing"/>
        <w:rPr>
          <w:b/>
          <w:bCs/>
          <w:sz w:val="28"/>
          <w:szCs w:val="28"/>
        </w:rPr>
      </w:pPr>
    </w:p>
    <w:p w14:paraId="71679E12" w14:textId="7A0D7958" w:rsidR="004B03D9" w:rsidRPr="00021E1D" w:rsidRDefault="00E043CF" w:rsidP="004B03D9">
      <w:pPr>
        <w:pStyle w:val="NoSpacing"/>
        <w:rPr>
          <w:b/>
          <w:bCs/>
          <w:sz w:val="28"/>
          <w:szCs w:val="28"/>
        </w:rPr>
      </w:pPr>
      <w:r w:rsidRPr="00021E1D">
        <w:rPr>
          <w:b/>
          <w:bCs/>
          <w:sz w:val="28"/>
          <w:szCs w:val="28"/>
        </w:rPr>
        <w:t>Resour</w:t>
      </w:r>
      <w:r w:rsidR="00756AD8" w:rsidRPr="00021E1D">
        <w:rPr>
          <w:b/>
          <w:bCs/>
          <w:sz w:val="28"/>
          <w:szCs w:val="28"/>
        </w:rPr>
        <w:t>c</w:t>
      </w:r>
      <w:r w:rsidRPr="00021E1D">
        <w:rPr>
          <w:b/>
          <w:bCs/>
          <w:sz w:val="28"/>
          <w:szCs w:val="28"/>
        </w:rPr>
        <w:t>es</w:t>
      </w:r>
    </w:p>
    <w:p w14:paraId="308EFFAB" w14:textId="6050376C" w:rsidR="004B03D9" w:rsidRDefault="004B03D9" w:rsidP="00BA4383">
      <w:pPr>
        <w:pStyle w:val="NoSpacing"/>
        <w:ind w:left="360"/>
      </w:pPr>
    </w:p>
    <w:p w14:paraId="00B6C44E" w14:textId="4BF9C4C3" w:rsidR="00E043CF" w:rsidRDefault="00E043CF" w:rsidP="00BA4383">
      <w:pPr>
        <w:pStyle w:val="NoSpacing"/>
        <w:ind w:left="360"/>
      </w:pPr>
      <w:r>
        <w:t>Company overview</w:t>
      </w:r>
      <w:r w:rsidR="009205DE">
        <w:t xml:space="preserve"> for </w:t>
      </w:r>
      <w:r w:rsidR="00BB2580">
        <w:t>Footprint</w:t>
      </w:r>
    </w:p>
    <w:p w14:paraId="02DE7C62" w14:textId="57193EE8" w:rsidR="00D62D37" w:rsidRDefault="00D62D37" w:rsidP="00BA4383">
      <w:pPr>
        <w:pStyle w:val="NoSpacing"/>
        <w:ind w:left="360"/>
      </w:pPr>
      <w:r>
        <w:t>Company overview for Quant</w:t>
      </w:r>
    </w:p>
    <w:p w14:paraId="290E8A75" w14:textId="2DE278BB" w:rsidR="00D62D37" w:rsidRDefault="00D62D37" w:rsidP="00BA4383">
      <w:pPr>
        <w:pStyle w:val="NoSpacing"/>
        <w:ind w:left="360"/>
      </w:pPr>
      <w:r w:rsidRPr="004B03D9">
        <w:t>Excel File with fina</w:t>
      </w:r>
      <w:r>
        <w:t>n</w:t>
      </w:r>
      <w:r w:rsidRPr="004B03D9">
        <w:t>cials</w:t>
      </w:r>
      <w:r>
        <w:t xml:space="preserve"> </w:t>
      </w:r>
      <w:r w:rsidRPr="004B03D9">
        <w:t>and ESG metrics</w:t>
      </w:r>
      <w:r>
        <w:t xml:space="preserve"> for Footprint and Quant</w:t>
      </w:r>
    </w:p>
    <w:p w14:paraId="2CE7D690" w14:textId="40CCF93C" w:rsidR="00144EC0" w:rsidRDefault="006C7281" w:rsidP="00BA4383">
      <w:pPr>
        <w:pStyle w:val="NoSpacing"/>
        <w:ind w:left="360"/>
        <w:rPr>
          <w:rStyle w:val="Hyperlink"/>
        </w:rPr>
      </w:pPr>
      <w:hyperlink r:id="rId10" w:history="1">
        <w:r w:rsidR="00144EC0">
          <w:rPr>
            <w:rStyle w:val="Hyperlink"/>
          </w:rPr>
          <w:t>Background on P</w:t>
        </w:r>
        <w:r w:rsidR="000B6257" w:rsidRPr="00AE21C1">
          <w:rPr>
            <w:rStyle w:val="Hyperlink"/>
          </w:rPr>
          <w:t>rincipal</w:t>
        </w:r>
      </w:hyperlink>
      <w:r w:rsidR="003B6B20">
        <w:rPr>
          <w:rStyle w:val="Hyperlink"/>
        </w:rPr>
        <w:t xml:space="preserve"> </w:t>
      </w:r>
      <w:r w:rsidR="003B6B20" w:rsidRPr="00144EC0">
        <w:rPr>
          <w:rStyle w:val="Hyperlink"/>
          <w:u w:val="none"/>
        </w:rPr>
        <w:t xml:space="preserve">   </w:t>
      </w:r>
      <w:r w:rsidR="003B6B20" w:rsidRPr="00144EC0">
        <w:rPr>
          <w:rStyle w:val="Hyperlink"/>
          <w:u w:val="none"/>
        </w:rPr>
        <w:tab/>
      </w:r>
    </w:p>
    <w:p w14:paraId="695458FC" w14:textId="12823FAD" w:rsidR="000B6257" w:rsidRDefault="006C7281" w:rsidP="00BA4383">
      <w:pPr>
        <w:pStyle w:val="NoSpacing"/>
        <w:ind w:left="360"/>
        <w:rPr>
          <w:rStyle w:val="Hyperlink"/>
        </w:rPr>
      </w:pPr>
      <w:hyperlink r:id="rId11" w:history="1">
        <w:r w:rsidR="003B6B20">
          <w:rPr>
            <w:rStyle w:val="Hyperlink"/>
          </w:rPr>
          <w:t>Principal’s p</w:t>
        </w:r>
        <w:r w:rsidR="000B6257" w:rsidRPr="00887467">
          <w:rPr>
            <w:rStyle w:val="Hyperlink"/>
          </w:rPr>
          <w:t>urpose</w:t>
        </w:r>
      </w:hyperlink>
    </w:p>
    <w:p w14:paraId="26077895" w14:textId="79BA3D48" w:rsidR="00131B79" w:rsidRDefault="006C7281" w:rsidP="00BA4383">
      <w:pPr>
        <w:pStyle w:val="NoSpacing"/>
        <w:ind w:left="360"/>
      </w:pPr>
      <w:hyperlink r:id="rId12" w:history="1">
        <w:r w:rsidR="009205DE">
          <w:rPr>
            <w:rStyle w:val="Hyperlink"/>
          </w:rPr>
          <w:t>Principal F</w:t>
        </w:r>
        <w:r w:rsidR="00131B79" w:rsidRPr="008D58B4">
          <w:rPr>
            <w:rStyle w:val="Hyperlink"/>
          </w:rPr>
          <w:t>ree Cash Flow Generation guidance</w:t>
        </w:r>
      </w:hyperlink>
      <w:r w:rsidR="00131B79">
        <w:t>.</w:t>
      </w:r>
    </w:p>
    <w:p w14:paraId="2177CAB1" w14:textId="586FD588" w:rsidR="00E043CF" w:rsidRPr="004B03D9" w:rsidRDefault="00E043CF" w:rsidP="00BA4383">
      <w:pPr>
        <w:pStyle w:val="NoSpacing"/>
        <w:ind w:left="360"/>
      </w:pPr>
      <w:r>
        <w:t>Information on Principal’s ESG strategy</w:t>
      </w:r>
      <w:r w:rsidR="006E7877">
        <w:t>:</w:t>
      </w:r>
      <w:r>
        <w:t xml:space="preserve"> </w:t>
      </w:r>
    </w:p>
    <w:p w14:paraId="3E5EF19B" w14:textId="40EA5407" w:rsidR="00E043CF" w:rsidRDefault="006C7281" w:rsidP="00E043CF">
      <w:pPr>
        <w:pStyle w:val="NoSpacing"/>
        <w:ind w:firstLine="720"/>
      </w:pPr>
      <w:hyperlink r:id="rId13" w:history="1">
        <w:r w:rsidR="00E043CF" w:rsidRPr="00CE5C05">
          <w:rPr>
            <w:rStyle w:val="Hyperlink"/>
          </w:rPr>
          <w:t>https://www.principal.com/sustainability/esg-strategy</w:t>
        </w:r>
      </w:hyperlink>
    </w:p>
    <w:p w14:paraId="5B679ADA" w14:textId="6878C459" w:rsidR="00E043CF" w:rsidRDefault="006C7281" w:rsidP="00E043CF">
      <w:pPr>
        <w:pStyle w:val="NoSpacing"/>
        <w:ind w:firstLine="720"/>
      </w:pPr>
      <w:hyperlink r:id="rId14" w:history="1">
        <w:r w:rsidR="00E043CF" w:rsidRPr="00CE5C05">
          <w:rPr>
            <w:rStyle w:val="Hyperlink"/>
          </w:rPr>
          <w:t>https://www.principalam.com/about-us/esg</w:t>
        </w:r>
      </w:hyperlink>
    </w:p>
    <w:p w14:paraId="43A3C0F8" w14:textId="67CE5539" w:rsidR="00A85D21" w:rsidRDefault="00E043CF" w:rsidP="00756AD8">
      <w:pPr>
        <w:pStyle w:val="NoSpacing"/>
        <w:ind w:left="360"/>
      </w:pPr>
      <w:r>
        <w:t>Bloomberg Termi</w:t>
      </w:r>
      <w:r w:rsidR="00756AD8">
        <w:t>n</w:t>
      </w:r>
      <w:r>
        <w:t>als</w:t>
      </w:r>
    </w:p>
    <w:p w14:paraId="09013ACE" w14:textId="129D0D98" w:rsidR="00021E1D" w:rsidRDefault="00021E1D" w:rsidP="00021E1D">
      <w:pPr>
        <w:pStyle w:val="NoSpacing"/>
        <w:ind w:left="360"/>
      </w:pPr>
      <w:r>
        <w:t>Merger</w:t>
      </w:r>
      <w:r w:rsidR="0090166A">
        <w:t xml:space="preserve"> and acquisition</w:t>
      </w:r>
      <w:r>
        <w:t xml:space="preserve"> articles:</w:t>
      </w:r>
    </w:p>
    <w:p w14:paraId="5225BF00" w14:textId="0F39A344" w:rsidR="00021E1D" w:rsidRPr="00021E1D" w:rsidRDefault="00021E1D" w:rsidP="00021E1D">
      <w:pPr>
        <w:pStyle w:val="NoSpacing"/>
        <w:ind w:left="720"/>
        <w:rPr>
          <w:rStyle w:val="Hyperlink"/>
        </w:rPr>
      </w:pPr>
      <w:r w:rsidRPr="00B43312">
        <w:rPr>
          <w:noProof/>
          <w:sz w:val="18"/>
        </w:rPr>
        <mc:AlternateContent>
          <mc:Choice Requires="wps">
            <w:drawing>
              <wp:anchor distT="0" distB="0" distL="114300" distR="114300" simplePos="0" relativeHeight="251661312" behindDoc="0" locked="0" layoutInCell="0" allowOverlap="1" wp14:anchorId="490B092B" wp14:editId="476BA571">
                <wp:simplePos x="0" y="0"/>
                <wp:positionH relativeFrom="page">
                  <wp:posOffset>0</wp:posOffset>
                </wp:positionH>
                <wp:positionV relativeFrom="page">
                  <wp:posOffset>9594850</wp:posOffset>
                </wp:positionV>
                <wp:extent cx="7772400" cy="272415"/>
                <wp:effectExtent l="0" t="0" r="0" b="13335"/>
                <wp:wrapNone/>
                <wp:docPr id="1" name="MSIPCM1aa74897a6dd78b1134154b2" descr="{&quot;HashCode&quot;:-3053973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2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F1EAE6" w14:textId="77777777" w:rsidR="00021E1D" w:rsidRPr="0011684D" w:rsidRDefault="00021E1D" w:rsidP="00021E1D">
                            <w:pPr>
                              <w:spacing w:after="0"/>
                              <w:rPr>
                                <w:rFonts w:ascii="FS Elliot Pro" w:hAnsi="FS Elliot Pro"/>
                                <w:color w:val="737373"/>
                                <w:sz w:val="18"/>
                              </w:rPr>
                            </w:pPr>
                            <w:r w:rsidRPr="0011684D">
                              <w:rPr>
                                <w:rFonts w:ascii="FS Elliot Pro" w:hAnsi="FS Elliot Pro"/>
                                <w:color w:val="737373"/>
                                <w:sz w:val="18"/>
                              </w:rPr>
                              <w:t>Classification: 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0B092B" id="_x0000_t202" coordsize="21600,21600" o:spt="202" path="m,l,21600r21600,l21600,xe">
                <v:stroke joinstyle="miter"/>
                <v:path gradientshapeok="t" o:connecttype="rect"/>
              </v:shapetype>
              <v:shape id="MSIPCM1aa74897a6dd78b1134154b2" o:spid="_x0000_s1027" type="#_x0000_t202" alt="{&quot;HashCode&quot;:-305397311,&quot;Height&quot;:792.0,&quot;Width&quot;:612.0,&quot;Placement&quot;:&quot;Footer&quot;,&quot;Index&quot;:&quot;Primary&quot;,&quot;Section&quot;:1,&quot;Top&quot;:0.0,&quot;Left&quot;:0.0}" style="position:absolute;left:0;text-align:left;margin-left:0;margin-top:755.5pt;width:612pt;height:21.4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" o:allowincell="f" filled="f" stroked="f" strokeweight=".5pt">
                <v:textbox inset="20pt,0,,0">
                  <w:txbxContent>
                    <w:p w14:paraId="21F1EAE6" w14:textId="77777777" w:rsidR="00021E1D" w:rsidRPr="0011684D" w:rsidRDefault="00021E1D" w:rsidP="00021E1D">
                      <w:pPr>
                        <w:spacing w:after="0"/>
                        <w:rPr>
                          <w:rFonts w:ascii="FS Elliot Pro" w:hAnsi="FS Elliot Pro"/>
                          <w:color w:val="737373"/>
                          <w:sz w:val="18"/>
                        </w:rPr>
                      </w:pPr>
                      <w:r w:rsidRPr="0011684D">
                        <w:rPr>
                          <w:rFonts w:ascii="FS Elliot Pro" w:hAnsi="FS Elliot Pro"/>
                          <w:color w:val="737373"/>
                          <w:sz w:val="18"/>
                        </w:rPr>
                        <w:t>Classification: Internal Use</w:t>
                      </w:r>
                    </w:p>
                  </w:txbxContent>
                </v:textbox>
                <w10:wrap anchorx="page" anchory="page"/>
              </v:shape>
            </w:pict>
          </mc:Fallback>
        </mc:AlternateContent>
      </w:r>
      <w:hyperlink r:id="rId15" w:history="1">
        <w:r w:rsidRPr="00B60FC2">
          <w:rPr>
            <w:rStyle w:val="Hyperlink"/>
          </w:rPr>
          <w:t>https://www.mckinsey.com/capabilities/strategy-and-corporate-finance/our-insights/how-one-approach-to-m-and-a-is-more-likely-to-create-value-than-all-others</w:t>
        </w:r>
      </w:hyperlink>
      <w:r w:rsidRPr="00021E1D">
        <w:rPr>
          <w:rStyle w:val="Hyperlink"/>
        </w:rPr>
        <w:br/>
      </w:r>
      <w:hyperlink r:id="rId16" w:history="1">
        <w:r w:rsidRPr="00021E1D">
          <w:rPr>
            <w:rStyle w:val="Hyperlink"/>
          </w:rPr>
          <w:t>https://www.chicagobooth.edu/review/forget-what-youve-read-most-mergers-create-value</w:t>
        </w:r>
      </w:hyperlink>
    </w:p>
    <w:p w14:paraId="0D1D435C" w14:textId="77777777" w:rsidR="00021E1D" w:rsidRPr="00021E1D" w:rsidRDefault="006C7281" w:rsidP="00021E1D">
      <w:pPr>
        <w:pStyle w:val="NoSpacing"/>
        <w:ind w:left="720"/>
        <w:rPr>
          <w:rStyle w:val="Hyperlink"/>
        </w:rPr>
      </w:pPr>
      <w:hyperlink r:id="rId17" w:history="1">
        <w:r w:rsidR="00021E1D" w:rsidRPr="00021E1D">
          <w:rPr>
            <w:rStyle w:val="Hyperlink"/>
          </w:rPr>
          <w:t>https://hbr.org/1999/07/are-you-paying-too-much-for-that-acquisition</w:t>
        </w:r>
      </w:hyperlink>
    </w:p>
    <w:p w14:paraId="3C3A3C55" w14:textId="2A2ED8E4" w:rsidR="00BA0EED" w:rsidRDefault="00BA0EED" w:rsidP="00A05620">
      <w:pPr>
        <w:pStyle w:val="NoSpacing"/>
        <w:rPr>
          <w:u w:val="single"/>
        </w:rPr>
      </w:pPr>
    </w:p>
    <w:p w14:paraId="62436271" w14:textId="77777777" w:rsidR="00021E1D" w:rsidRDefault="00021E1D" w:rsidP="00A05620">
      <w:pPr>
        <w:pStyle w:val="NoSpacing"/>
        <w:rPr>
          <w:u w:val="single"/>
        </w:rPr>
      </w:pPr>
    </w:p>
    <w:p w14:paraId="019ED922" w14:textId="60F8CB7F" w:rsidR="00A05620" w:rsidRPr="00021E1D" w:rsidRDefault="00D90CC1" w:rsidP="00A05620">
      <w:pPr>
        <w:pStyle w:val="NoSpacing"/>
        <w:rPr>
          <w:b/>
          <w:bCs/>
          <w:sz w:val="28"/>
          <w:szCs w:val="28"/>
        </w:rPr>
      </w:pPr>
      <w:r w:rsidRPr="00021E1D">
        <w:rPr>
          <w:b/>
          <w:bCs/>
          <w:sz w:val="28"/>
          <w:szCs w:val="28"/>
        </w:rPr>
        <w:t>Recommendation</w:t>
      </w:r>
    </w:p>
    <w:p w14:paraId="5B95B0B9" w14:textId="77777777" w:rsidR="00BA0EED" w:rsidRDefault="00BA0EED" w:rsidP="00A05620">
      <w:pPr>
        <w:pStyle w:val="NoSpacing"/>
        <w:rPr>
          <w:u w:val="single"/>
        </w:rPr>
      </w:pPr>
    </w:p>
    <w:p w14:paraId="6BDBA469" w14:textId="0981B1B5" w:rsidR="00D90CC1" w:rsidRDefault="00AA206D" w:rsidP="00A05620">
      <w:pPr>
        <w:pStyle w:val="NoSpacing"/>
      </w:pPr>
      <w:r>
        <w:t xml:space="preserve">The </w:t>
      </w:r>
      <w:r w:rsidR="002B7CB9">
        <w:t xml:space="preserve">evaluation and </w:t>
      </w:r>
      <w:r>
        <w:t>recommendation to</w:t>
      </w:r>
      <w:r w:rsidR="002B7CB9">
        <w:t xml:space="preserve"> senior management and board will include three elements:</w:t>
      </w:r>
    </w:p>
    <w:p w14:paraId="4F8B16CA" w14:textId="77777777" w:rsidR="00D3435A" w:rsidRDefault="00D3435A" w:rsidP="00A05620">
      <w:pPr>
        <w:pStyle w:val="NoSpacing"/>
      </w:pPr>
    </w:p>
    <w:p w14:paraId="0FC5610C" w14:textId="43CBEA6A" w:rsidR="009D75A1" w:rsidRDefault="008D1A7F">
      <w:pPr>
        <w:pStyle w:val="NoSpacing"/>
      </w:pPr>
      <w:r>
        <w:t xml:space="preserve">1. </w:t>
      </w:r>
      <w:r w:rsidR="009647BE">
        <w:t>ESG s</w:t>
      </w:r>
      <w:r w:rsidR="002B7CB9">
        <w:t>trateg</w:t>
      </w:r>
      <w:r w:rsidR="009647BE">
        <w:t>y</w:t>
      </w:r>
      <w:r w:rsidR="002B7CB9">
        <w:t xml:space="preserve"> – </w:t>
      </w:r>
      <w:r w:rsidR="00AE42E1">
        <w:t>Based on the information provided in the offering memorandum</w:t>
      </w:r>
      <w:r w:rsidR="00CC06D4">
        <w:t xml:space="preserve"> about the target companies</w:t>
      </w:r>
      <w:r w:rsidR="00AE42E1">
        <w:t xml:space="preserve">, and publicly available </w:t>
      </w:r>
      <w:r w:rsidR="00151071">
        <w:t xml:space="preserve">information </w:t>
      </w:r>
      <w:r w:rsidR="00AE42E1">
        <w:t>about Principal</w:t>
      </w:r>
      <w:r w:rsidR="001D13D2">
        <w:t xml:space="preserve">, </w:t>
      </w:r>
      <w:r w:rsidR="00B63C63">
        <w:t xml:space="preserve">evaluate how </w:t>
      </w:r>
      <w:r w:rsidR="00631AD3">
        <w:t>each tar</w:t>
      </w:r>
      <w:r w:rsidR="00261DBC">
        <w:t xml:space="preserve">get contributes to </w:t>
      </w:r>
      <w:r w:rsidR="007B78FD">
        <w:t>the stated objectives of the transaction</w:t>
      </w:r>
      <w:r w:rsidR="00311B3F">
        <w:t xml:space="preserve">. </w:t>
      </w:r>
      <w:r w:rsidR="009D75A1">
        <w:t>Two links to start your search are:</w:t>
      </w:r>
      <w:r w:rsidR="009D75A1" w:rsidRPr="009D75A1">
        <w:t xml:space="preserve"> </w:t>
      </w:r>
      <w:r w:rsidR="009D75A1">
        <w:t xml:space="preserve">  </w:t>
      </w:r>
      <w:hyperlink r:id="rId18" w:history="1">
        <w:r w:rsidR="009D75A1" w:rsidRPr="002C1DD1">
          <w:rPr>
            <w:rStyle w:val="Hyperlink"/>
          </w:rPr>
          <w:t>https://www.principal.com/sustainability/esg-strategy</w:t>
        </w:r>
      </w:hyperlink>
    </w:p>
    <w:p w14:paraId="2D8A3B2E" w14:textId="2AE0DC4B" w:rsidR="00A97EA6" w:rsidRDefault="006C7281" w:rsidP="002F3F2C">
      <w:pPr>
        <w:pStyle w:val="NoSpacing"/>
      </w:pPr>
      <w:hyperlink r:id="rId19" w:history="1">
        <w:r w:rsidR="002F3F2C" w:rsidRPr="002C1DD1">
          <w:rPr>
            <w:rStyle w:val="Hyperlink"/>
          </w:rPr>
          <w:t>https://www.principalam.com/about-us/esg</w:t>
        </w:r>
      </w:hyperlink>
    </w:p>
    <w:p w14:paraId="0F70051D" w14:textId="77777777" w:rsidR="00335743" w:rsidRDefault="00335743" w:rsidP="002F3F2C">
      <w:pPr>
        <w:pStyle w:val="NoSpacing"/>
      </w:pPr>
    </w:p>
    <w:p w14:paraId="40EC1A88" w14:textId="2D5FE4AA" w:rsidR="004C4587" w:rsidRDefault="004C4587" w:rsidP="004C4587">
      <w:pPr>
        <w:pStyle w:val="NoSpacing"/>
        <w:numPr>
          <w:ilvl w:val="1"/>
          <w:numId w:val="3"/>
        </w:numPr>
      </w:pPr>
      <w:r w:rsidRPr="004C4587">
        <w:t xml:space="preserve">Principal has made a commitment to ESG investing.  </w:t>
      </w:r>
      <w:r w:rsidR="001B221A">
        <w:t>Weigh</w:t>
      </w:r>
      <w:r w:rsidRPr="004C4587">
        <w:t xml:space="preserve"> the pros</w:t>
      </w:r>
      <w:r w:rsidR="001B221A">
        <w:t xml:space="preserve"> and </w:t>
      </w:r>
      <w:r w:rsidRPr="004C4587">
        <w:t>cons of ESG practices in investment management as part of the recommendation on whether</w:t>
      </w:r>
      <w:r w:rsidR="001B221A">
        <w:t xml:space="preserve"> or not</w:t>
      </w:r>
      <w:r w:rsidRPr="004C4587">
        <w:t xml:space="preserve"> the proposed acquisition meets Principal’s strategic objectives.</w:t>
      </w:r>
    </w:p>
    <w:p w14:paraId="7FA3A10E" w14:textId="505289E3" w:rsidR="002F3F2C" w:rsidRDefault="004C4587" w:rsidP="002F3F2C">
      <w:pPr>
        <w:pStyle w:val="NoSpacing"/>
        <w:numPr>
          <w:ilvl w:val="1"/>
          <w:numId w:val="3"/>
        </w:numPr>
      </w:pPr>
      <w:r>
        <w:t>Evaluate</w:t>
      </w:r>
      <w:r w:rsidR="008D1A7F">
        <w:t xml:space="preserve"> </w:t>
      </w:r>
      <w:r w:rsidR="00357676">
        <w:t xml:space="preserve">the ESG metrics provided for Principal and each target company, and </w:t>
      </w:r>
      <w:r w:rsidR="00D3435A">
        <w:t>as part of your recommendation</w:t>
      </w:r>
      <w:r w:rsidR="00893BCC">
        <w:t>,</w:t>
      </w:r>
      <w:r w:rsidR="00D3435A">
        <w:t xml:space="preserve"> opine on the </w:t>
      </w:r>
      <w:r w:rsidR="004869CC">
        <w:t>contribution of each target company to enhance Principal’s</w:t>
      </w:r>
      <w:r w:rsidR="00E81F54">
        <w:t xml:space="preserve"> reputation as an ESG manager</w:t>
      </w:r>
      <w:r w:rsidR="001B221A">
        <w:t xml:space="preserve">.  Consider </w:t>
      </w:r>
      <w:r w:rsidR="007E6237">
        <w:t>d</w:t>
      </w:r>
      <w:r w:rsidR="002F3F2C">
        <w:t>evelop</w:t>
      </w:r>
      <w:r w:rsidR="001B221A">
        <w:t>ing</w:t>
      </w:r>
      <w:r w:rsidR="002F3F2C">
        <w:t xml:space="preserve"> a </w:t>
      </w:r>
      <w:r w:rsidR="007E6237">
        <w:t>composite score</w:t>
      </w:r>
      <w:r w:rsidR="002F3F2C">
        <w:t xml:space="preserve"> for evaluating ESG that aligns with Principal’s ESG </w:t>
      </w:r>
      <w:r w:rsidR="007E6237">
        <w:t>strategy.</w:t>
      </w:r>
      <w:r w:rsidR="002F3F2C">
        <w:t xml:space="preserve"> </w:t>
      </w:r>
    </w:p>
    <w:p w14:paraId="55E2E048" w14:textId="77777777" w:rsidR="00C530EC" w:rsidRDefault="00C530EC" w:rsidP="00335743">
      <w:pPr>
        <w:pStyle w:val="NoSpacing"/>
      </w:pPr>
    </w:p>
    <w:p w14:paraId="1BA02A97" w14:textId="0E088A12" w:rsidR="00B63C63" w:rsidRDefault="00B63C63" w:rsidP="002B7CB9">
      <w:pPr>
        <w:pStyle w:val="NoSpacing"/>
        <w:numPr>
          <w:ilvl w:val="0"/>
          <w:numId w:val="3"/>
        </w:numPr>
      </w:pPr>
      <w:r>
        <w:lastRenderedPageBreak/>
        <w:t xml:space="preserve">Cultural fit – </w:t>
      </w:r>
      <w:hyperlink r:id="rId20" w:history="1">
        <w:r w:rsidRPr="00AE21C1">
          <w:rPr>
            <w:rStyle w:val="Hyperlink"/>
          </w:rPr>
          <w:t>Principal</w:t>
        </w:r>
      </w:hyperlink>
      <w:r w:rsidR="00236473">
        <w:t xml:space="preserve"> has </w:t>
      </w:r>
      <w:r w:rsidR="00812252">
        <w:t xml:space="preserve">a stated </w:t>
      </w:r>
      <w:hyperlink r:id="rId21" w:history="1">
        <w:r w:rsidR="00812252" w:rsidRPr="00887467">
          <w:rPr>
            <w:rStyle w:val="Hyperlink"/>
          </w:rPr>
          <w:t>purpose</w:t>
        </w:r>
      </w:hyperlink>
      <w:r w:rsidR="00317C0B">
        <w:t xml:space="preserve"> </w:t>
      </w:r>
      <w:r w:rsidR="005744C9">
        <w:t>and mission</w:t>
      </w:r>
      <w:r w:rsidR="00887467">
        <w:t xml:space="preserve">.  </w:t>
      </w:r>
      <w:r w:rsidR="00404061">
        <w:t xml:space="preserve">Acquisitions </w:t>
      </w:r>
      <w:r w:rsidR="007D4D79">
        <w:t xml:space="preserve">have inherent risk, and </w:t>
      </w:r>
      <w:r w:rsidR="00AB4323">
        <w:t>it is challenging to</w:t>
      </w:r>
      <w:r w:rsidR="00261DBC">
        <w:t xml:space="preserve"> measure</w:t>
      </w:r>
      <w:r w:rsidR="00C83BC7">
        <w:t xml:space="preserve"> success. </w:t>
      </w:r>
      <w:r w:rsidR="007B78FD">
        <w:t xml:space="preserve"> How well does the cultur</w:t>
      </w:r>
      <w:r w:rsidR="008C600A">
        <w:t>e</w:t>
      </w:r>
      <w:r w:rsidR="007B78FD">
        <w:t xml:space="preserve"> and values of the target company align with Principal’s </w:t>
      </w:r>
      <w:r w:rsidR="00CA5989">
        <w:t xml:space="preserve">purpose, </w:t>
      </w:r>
      <w:proofErr w:type="gramStart"/>
      <w:r w:rsidR="00CA5989">
        <w:t>mission</w:t>
      </w:r>
      <w:proofErr w:type="gramEnd"/>
      <w:r w:rsidR="00CA5989">
        <w:t xml:space="preserve"> and values?  Strong cultural fit may</w:t>
      </w:r>
      <w:r w:rsidR="00941C64">
        <w:t xml:space="preserve"> enable more effective integration of the company</w:t>
      </w:r>
      <w:r w:rsidR="000A6CAE">
        <w:t>.</w:t>
      </w:r>
    </w:p>
    <w:p w14:paraId="32B24189" w14:textId="77777777" w:rsidR="00DA500D" w:rsidRDefault="00DA500D" w:rsidP="00F6780E">
      <w:pPr>
        <w:pStyle w:val="NoSpacing"/>
        <w:ind w:left="360"/>
      </w:pPr>
    </w:p>
    <w:p w14:paraId="22C7B40E" w14:textId="7C6BE673" w:rsidR="00490101" w:rsidRDefault="00490101" w:rsidP="002B7CB9">
      <w:pPr>
        <w:pStyle w:val="NoSpacing"/>
        <w:numPr>
          <w:ilvl w:val="0"/>
          <w:numId w:val="3"/>
        </w:numPr>
      </w:pPr>
      <w:r>
        <w:t xml:space="preserve">Financial </w:t>
      </w:r>
      <w:r w:rsidR="000A6CAE">
        <w:t>–</w:t>
      </w:r>
      <w:r>
        <w:t xml:space="preserve"> </w:t>
      </w:r>
      <w:r w:rsidR="000A6CAE">
        <w:t>As C</w:t>
      </w:r>
      <w:r w:rsidR="005B6EF4">
        <w:t xml:space="preserve">FO of a publicly traded company, </w:t>
      </w:r>
      <w:r w:rsidR="00D24BE1">
        <w:t xml:space="preserve">it is your responsibility to ensure Principal is putting capital to work </w:t>
      </w:r>
      <w:r w:rsidR="00893BCC">
        <w:t>with realized</w:t>
      </w:r>
      <w:r w:rsidR="00D24BE1">
        <w:t xml:space="preserve"> returns in excess of the </w:t>
      </w:r>
      <w:r w:rsidR="0017285E">
        <w:t>risk-adjusted expected return.  Address the following elements in your recommendation:</w:t>
      </w:r>
    </w:p>
    <w:p w14:paraId="6472BF91" w14:textId="77777777" w:rsidR="00893BCC" w:rsidRDefault="00893BCC" w:rsidP="00893BCC">
      <w:pPr>
        <w:pStyle w:val="NoSpacing"/>
      </w:pPr>
    </w:p>
    <w:p w14:paraId="1CD107F3" w14:textId="073D1091" w:rsidR="0017285E" w:rsidRDefault="008D153C" w:rsidP="0017285E">
      <w:pPr>
        <w:pStyle w:val="NoSpacing"/>
        <w:numPr>
          <w:ilvl w:val="1"/>
          <w:numId w:val="3"/>
        </w:numPr>
      </w:pPr>
      <w:r>
        <w:t>What is the fair value of the target companies?  Use at least two valuation methods</w:t>
      </w:r>
      <w:r w:rsidR="00976198">
        <w:t>, one of which must be the Discounted Cash Flow Analysis</w:t>
      </w:r>
      <w:r w:rsidR="0012546F">
        <w:t xml:space="preserve">. </w:t>
      </w:r>
      <w:r w:rsidR="00AD5C55">
        <w:t xml:space="preserve">(Possibilities include Discounted Cash Flow Analysis, Valuation of </w:t>
      </w:r>
      <w:proofErr w:type="spellStart"/>
      <w:r w:rsidR="00AD5C55">
        <w:t>Comparables</w:t>
      </w:r>
      <w:proofErr w:type="spellEnd"/>
      <w:r w:rsidR="00AD5C55">
        <w:t>, and</w:t>
      </w:r>
      <w:r w:rsidR="0012546F">
        <w:t xml:space="preserve"> statistical regression-based models, for example).</w:t>
      </w:r>
    </w:p>
    <w:p w14:paraId="0655467E" w14:textId="77777777" w:rsidR="005F0B2C" w:rsidRDefault="005F0B2C" w:rsidP="005F0B2C">
      <w:pPr>
        <w:pStyle w:val="NoSpacing"/>
        <w:ind w:left="1080"/>
      </w:pPr>
    </w:p>
    <w:p w14:paraId="49867F2A" w14:textId="0082ABC8" w:rsidR="0046154B" w:rsidRDefault="0046154B" w:rsidP="0016758F">
      <w:pPr>
        <w:pStyle w:val="NoSpacing"/>
        <w:numPr>
          <w:ilvl w:val="2"/>
          <w:numId w:val="3"/>
        </w:numPr>
      </w:pPr>
      <w:r>
        <w:t>Perform financial evaluation of past performance including looking at ratios and/or other metrics</w:t>
      </w:r>
      <w:r w:rsidR="005F0B2C">
        <w:t>.  P</w:t>
      </w:r>
      <w:r w:rsidR="006C3567">
        <w:t xml:space="preserve">ossible </w:t>
      </w:r>
      <w:r w:rsidR="005F0B2C">
        <w:t>metrics</w:t>
      </w:r>
      <w:r w:rsidR="006C3567">
        <w:t xml:space="preserve"> to </w:t>
      </w:r>
      <w:r w:rsidR="005F0B2C">
        <w:t xml:space="preserve">incorporate </w:t>
      </w:r>
      <w:r w:rsidR="006C3567">
        <w:t>include</w:t>
      </w:r>
      <w:r w:rsidR="005F0B2C">
        <w:t>:</w:t>
      </w:r>
      <w:r>
        <w:t xml:space="preserve"> </w:t>
      </w:r>
    </w:p>
    <w:p w14:paraId="0EFE74F6" w14:textId="44271A1C" w:rsidR="0046154B" w:rsidRDefault="0046154B" w:rsidP="00021E1D">
      <w:pPr>
        <w:pStyle w:val="NoSpacing"/>
        <w:numPr>
          <w:ilvl w:val="3"/>
          <w:numId w:val="13"/>
        </w:numPr>
      </w:pPr>
      <w:r>
        <w:t>Return on equity and sources of ROE from the Dupont identity (profit margin, asset utilization and equity multiplier</w:t>
      </w:r>
      <w:r w:rsidR="003230F1">
        <w:t>)</w:t>
      </w:r>
    </w:p>
    <w:p w14:paraId="031EDC90" w14:textId="3D328259" w:rsidR="0046154B" w:rsidRDefault="0046154B" w:rsidP="00021E1D">
      <w:pPr>
        <w:pStyle w:val="NoSpacing"/>
        <w:numPr>
          <w:ilvl w:val="3"/>
          <w:numId w:val="13"/>
        </w:numPr>
      </w:pPr>
      <w:r>
        <w:t xml:space="preserve">Assets under management </w:t>
      </w:r>
    </w:p>
    <w:p w14:paraId="69E3FE0B" w14:textId="048B8EE1" w:rsidR="006C3567" w:rsidRDefault="006C3567" w:rsidP="00021E1D">
      <w:pPr>
        <w:pStyle w:val="NoSpacing"/>
        <w:numPr>
          <w:ilvl w:val="3"/>
          <w:numId w:val="13"/>
        </w:numPr>
      </w:pPr>
      <w:r>
        <w:t>Growth rate</w:t>
      </w:r>
      <w:r w:rsidR="003230F1">
        <w:t>s</w:t>
      </w:r>
      <w:r>
        <w:t xml:space="preserve"> of key variables</w:t>
      </w:r>
    </w:p>
    <w:p w14:paraId="1C822640" w14:textId="77777777" w:rsidR="00C530EC" w:rsidRDefault="00C530EC" w:rsidP="00C530EC">
      <w:pPr>
        <w:pStyle w:val="NoSpacing"/>
        <w:ind w:left="2520"/>
      </w:pPr>
    </w:p>
    <w:p w14:paraId="2049BB23" w14:textId="32A1F3CF" w:rsidR="0016758F" w:rsidRDefault="00135EB7" w:rsidP="0016758F">
      <w:pPr>
        <w:pStyle w:val="NoSpacing"/>
        <w:numPr>
          <w:ilvl w:val="2"/>
          <w:numId w:val="3"/>
        </w:numPr>
      </w:pPr>
      <w:r>
        <w:t xml:space="preserve">As part of the analysis and forecasted cash flows, </w:t>
      </w:r>
      <w:r w:rsidR="00A25F05">
        <w:t>explain</w:t>
      </w:r>
      <w:r>
        <w:t xml:space="preserve"> the </w:t>
      </w:r>
      <w:r w:rsidR="003C5773">
        <w:t xml:space="preserve">rationale for the </w:t>
      </w:r>
      <w:r>
        <w:t xml:space="preserve">following material assumptions </w:t>
      </w:r>
      <w:r w:rsidR="003C5773">
        <w:t>of</w:t>
      </w:r>
      <w:r>
        <w:t xml:space="preserve"> each business:</w:t>
      </w:r>
    </w:p>
    <w:p w14:paraId="0CBBBFCF" w14:textId="4B7F02D0" w:rsidR="00135EB7" w:rsidRDefault="00135EB7" w:rsidP="00021E1D">
      <w:pPr>
        <w:pStyle w:val="NoSpacing"/>
        <w:numPr>
          <w:ilvl w:val="0"/>
          <w:numId w:val="14"/>
        </w:numPr>
      </w:pPr>
      <w:r>
        <w:t>Expected investment performance</w:t>
      </w:r>
      <w:r w:rsidR="0051310B">
        <w:t xml:space="preserve"> of target company funds</w:t>
      </w:r>
    </w:p>
    <w:p w14:paraId="0CC56393" w14:textId="4FCDBC35" w:rsidR="00135EB7" w:rsidRDefault="00135EB7" w:rsidP="00021E1D">
      <w:pPr>
        <w:pStyle w:val="NoSpacing"/>
        <w:numPr>
          <w:ilvl w:val="0"/>
          <w:numId w:val="14"/>
        </w:numPr>
      </w:pPr>
      <w:r>
        <w:t>Net cash flows (fund subscriptions less redemptions)</w:t>
      </w:r>
    </w:p>
    <w:p w14:paraId="22BA0B55" w14:textId="6F7CDA94" w:rsidR="00135EB7" w:rsidRDefault="00135EB7" w:rsidP="00021E1D">
      <w:pPr>
        <w:pStyle w:val="NoSpacing"/>
        <w:numPr>
          <w:ilvl w:val="0"/>
          <w:numId w:val="14"/>
        </w:numPr>
      </w:pPr>
      <w:r>
        <w:t>Expected exp</w:t>
      </w:r>
      <w:r w:rsidR="001D75A1">
        <w:t xml:space="preserve">ense growth given growth </w:t>
      </w:r>
      <w:r w:rsidR="0051310B">
        <w:t>initiatives</w:t>
      </w:r>
      <w:r w:rsidR="003230F1">
        <w:t>.  Consider providing</w:t>
      </w:r>
      <w:r w:rsidR="006C3567">
        <w:t xml:space="preserve"> a range of potential changes for key variables after acquisition</w:t>
      </w:r>
      <w:r w:rsidR="00080B65">
        <w:t>.</w:t>
      </w:r>
      <w:r w:rsidR="006C3567">
        <w:t xml:space="preserve"> </w:t>
      </w:r>
    </w:p>
    <w:p w14:paraId="4F8B163C" w14:textId="6770CC2B" w:rsidR="002F3F2C" w:rsidRDefault="00080B65" w:rsidP="00021E1D">
      <w:pPr>
        <w:pStyle w:val="NoSpacing"/>
        <w:numPr>
          <w:ilvl w:val="0"/>
          <w:numId w:val="14"/>
        </w:numPr>
      </w:pPr>
      <w:r>
        <w:t xml:space="preserve">Calculate WACC and explain </w:t>
      </w:r>
      <w:r w:rsidR="00080004">
        <w:t>the methodology used to do so</w:t>
      </w:r>
      <w:r>
        <w:t xml:space="preserve"> (</w:t>
      </w:r>
      <w:r w:rsidR="00080004">
        <w:t xml:space="preserve">e.g., </w:t>
      </w:r>
      <w:r>
        <w:t>determining cost of equity, cost of debt, etc.)</w:t>
      </w:r>
    </w:p>
    <w:p w14:paraId="50A1D006" w14:textId="31738341" w:rsidR="0051310B" w:rsidRDefault="002F3F2C" w:rsidP="00021E1D">
      <w:pPr>
        <w:pStyle w:val="NoSpacing"/>
        <w:numPr>
          <w:ilvl w:val="0"/>
          <w:numId w:val="14"/>
        </w:numPr>
      </w:pPr>
      <w:r>
        <w:t xml:space="preserve">The alignment of management fees charged by the targets and Principal </w:t>
      </w:r>
    </w:p>
    <w:p w14:paraId="02F2CE93" w14:textId="77777777" w:rsidR="00080004" w:rsidRDefault="00080004" w:rsidP="00080004">
      <w:pPr>
        <w:pStyle w:val="NoSpacing"/>
        <w:ind w:left="2520"/>
      </w:pPr>
    </w:p>
    <w:p w14:paraId="3EDC554F" w14:textId="377F308D" w:rsidR="0056669F" w:rsidRDefault="000103FE" w:rsidP="0017285E">
      <w:pPr>
        <w:pStyle w:val="NoSpacing"/>
        <w:numPr>
          <w:ilvl w:val="1"/>
          <w:numId w:val="3"/>
        </w:numPr>
      </w:pPr>
      <w:r>
        <w:t>If t</w:t>
      </w:r>
      <w:r w:rsidR="0056669F">
        <w:t>he recommendation is “</w:t>
      </w:r>
      <w:proofErr w:type="gramStart"/>
      <w:r w:rsidR="0056669F">
        <w:t>buy</w:t>
      </w:r>
      <w:proofErr w:type="gramEnd"/>
      <w:r w:rsidR="0056669F">
        <w:t xml:space="preserve">”, what value </w:t>
      </w:r>
      <w:r w:rsidR="004D0CE8">
        <w:t xml:space="preserve">do you recommend as the </w:t>
      </w:r>
      <w:r w:rsidR="002E1AEF">
        <w:t>bid price, and why?</w:t>
      </w:r>
      <w:r w:rsidR="0029425F">
        <w:t xml:space="preserve"> Similarly, if the recommendation is “don’t buy”, what value do you recommend as the bid price, and why?</w:t>
      </w:r>
    </w:p>
    <w:p w14:paraId="62BA5E11" w14:textId="77777777" w:rsidR="00080004" w:rsidRDefault="00080004" w:rsidP="00080004">
      <w:pPr>
        <w:pStyle w:val="NoSpacing"/>
        <w:ind w:left="1080"/>
      </w:pPr>
    </w:p>
    <w:p w14:paraId="792108FD" w14:textId="6506B580" w:rsidR="00080004" w:rsidRDefault="002E1AEF" w:rsidP="002623EC">
      <w:pPr>
        <w:pStyle w:val="NoSpacing"/>
        <w:numPr>
          <w:ilvl w:val="1"/>
          <w:numId w:val="3"/>
        </w:numPr>
      </w:pPr>
      <w:r>
        <w:t>How will Principal finance the transaction (debt, cash on hand</w:t>
      </w:r>
      <w:r w:rsidR="006C3915">
        <w:t>, equity financing) and what considerations went into the financing recommendation?</w:t>
      </w:r>
      <w:r w:rsidR="006C3567">
        <w:t xml:space="preserve"> </w:t>
      </w:r>
      <w:r w:rsidR="00F14EAF">
        <w:t>Weigh the pros and cons for various capital structure choices.</w:t>
      </w:r>
    </w:p>
    <w:p w14:paraId="177D2966" w14:textId="77777777" w:rsidR="00F14EAF" w:rsidRDefault="00F14EAF" w:rsidP="00F14EAF">
      <w:pPr>
        <w:pStyle w:val="NoSpacing"/>
      </w:pPr>
    </w:p>
    <w:p w14:paraId="12CC1122" w14:textId="7EE1EC2E" w:rsidR="00C530EC" w:rsidRDefault="006A08D6" w:rsidP="00C530EC">
      <w:pPr>
        <w:pStyle w:val="NoSpacing"/>
        <w:numPr>
          <w:ilvl w:val="1"/>
          <w:numId w:val="3"/>
        </w:numPr>
      </w:pPr>
      <w:r>
        <w:t xml:space="preserve">Provide a </w:t>
      </w:r>
      <w:r w:rsidR="007B6A5D">
        <w:t xml:space="preserve">run-rate </w:t>
      </w:r>
      <w:r>
        <w:t xml:space="preserve">pro-forma </w:t>
      </w:r>
      <w:r w:rsidR="007B6A5D">
        <w:t>financial impact analysis</w:t>
      </w:r>
      <w:r w:rsidR="00B57721">
        <w:t xml:space="preserve"> to Principal using 202</w:t>
      </w:r>
      <w:r w:rsidR="002C5EB5">
        <w:t>2</w:t>
      </w:r>
      <w:r w:rsidR="00B57721">
        <w:t xml:space="preserve"> as the baseline</w:t>
      </w:r>
      <w:r>
        <w:t xml:space="preserve"> reflecting earnings</w:t>
      </w:r>
      <w:r w:rsidR="00B57721">
        <w:t xml:space="preserve"> and cash flows</w:t>
      </w:r>
      <w:r>
        <w:t xml:space="preserve"> of the target company, cost of financing, </w:t>
      </w:r>
      <w:proofErr w:type="gramStart"/>
      <w:r w:rsidR="008E137C">
        <w:t>synergies</w:t>
      </w:r>
      <w:proofErr w:type="gramEnd"/>
      <w:r>
        <w:t xml:space="preserve"> and dis-synergies of the transaction.  </w:t>
      </w:r>
    </w:p>
    <w:p w14:paraId="24CEC8FD" w14:textId="77777777" w:rsidR="00C530EC" w:rsidRDefault="00C530EC" w:rsidP="00C530EC">
      <w:pPr>
        <w:pStyle w:val="NoSpacing"/>
      </w:pPr>
    </w:p>
    <w:p w14:paraId="314FD290" w14:textId="4A3B3EE4" w:rsidR="00660E8D" w:rsidRDefault="00852E7D" w:rsidP="00BB388E">
      <w:pPr>
        <w:pStyle w:val="NoSpacing"/>
        <w:numPr>
          <w:ilvl w:val="2"/>
          <w:numId w:val="3"/>
        </w:numPr>
      </w:pPr>
      <w:r>
        <w:t xml:space="preserve">The impact analysis must include </w:t>
      </w:r>
      <w:r w:rsidR="0082381A">
        <w:t>impact to</w:t>
      </w:r>
      <w:r w:rsidR="00AF2C3D">
        <w:t xml:space="preserve"> Principal Global Investors</w:t>
      </w:r>
      <w:r w:rsidR="0082381A">
        <w:t xml:space="preserve"> net</w:t>
      </w:r>
      <w:r w:rsidR="001F3862">
        <w:t xml:space="preserve"> revenue growth</w:t>
      </w:r>
      <w:r w:rsidR="006B5345">
        <w:t>., pre-tax operating earnings</w:t>
      </w:r>
      <w:r w:rsidR="007D2AC2">
        <w:t>/margin, and free cash flow generation</w:t>
      </w:r>
      <w:r w:rsidR="004A1E5D">
        <w:t xml:space="preserve"> (free cash flow generation is after-tax cash flows divided by Net Income</w:t>
      </w:r>
      <w:r w:rsidR="00660E8D">
        <w:t>)</w:t>
      </w:r>
    </w:p>
    <w:p w14:paraId="60A14834" w14:textId="2D11795B" w:rsidR="00C530EC" w:rsidRDefault="00C530EC" w:rsidP="00C530EC">
      <w:pPr>
        <w:pStyle w:val="NoSpacing"/>
        <w:ind w:left="1800"/>
      </w:pPr>
    </w:p>
    <w:p w14:paraId="4425F290" w14:textId="7A8ECFEC" w:rsidR="006C3915" w:rsidRDefault="00660E8D" w:rsidP="00F6780E">
      <w:pPr>
        <w:pStyle w:val="NoSpacing"/>
        <w:numPr>
          <w:ilvl w:val="2"/>
          <w:numId w:val="3"/>
        </w:numPr>
      </w:pPr>
      <w:r>
        <w:lastRenderedPageBreak/>
        <w:t>D</w:t>
      </w:r>
      <w:r w:rsidR="004A1E5D">
        <w:t xml:space="preserve">etermine if the target company free cash flow generation is additive to Principal’s stated </w:t>
      </w:r>
      <w:hyperlink r:id="rId22" w:history="1">
        <w:r w:rsidR="004A1E5D" w:rsidRPr="008D58B4">
          <w:rPr>
            <w:rStyle w:val="Hyperlink"/>
          </w:rPr>
          <w:t>Free Cash Flow Generation guidance</w:t>
        </w:r>
      </w:hyperlink>
      <w:r w:rsidR="00F97917">
        <w:t xml:space="preserve">. </w:t>
      </w:r>
    </w:p>
    <w:p w14:paraId="73890662" w14:textId="77777777" w:rsidR="002577D8" w:rsidRDefault="002577D8" w:rsidP="002577D8">
      <w:pPr>
        <w:pStyle w:val="NoSpacing"/>
        <w:ind w:left="1800"/>
      </w:pPr>
    </w:p>
    <w:p w14:paraId="47786EBB" w14:textId="3E95639D" w:rsidR="008E137C" w:rsidRDefault="008E137C" w:rsidP="0017285E">
      <w:pPr>
        <w:pStyle w:val="NoSpacing"/>
        <w:numPr>
          <w:ilvl w:val="1"/>
          <w:numId w:val="3"/>
        </w:numPr>
      </w:pPr>
      <w:r>
        <w:t xml:space="preserve">Summarize key messages to the </w:t>
      </w:r>
      <w:r w:rsidR="002577D8">
        <w:t>B</w:t>
      </w:r>
      <w:r>
        <w:t xml:space="preserve">oard of </w:t>
      </w:r>
      <w:r w:rsidR="002577D8">
        <w:t>D</w:t>
      </w:r>
      <w:r>
        <w:t xml:space="preserve">irectors and </w:t>
      </w:r>
      <w:proofErr w:type="gramStart"/>
      <w:r>
        <w:t>shareholders</w:t>
      </w:r>
      <w:r w:rsidR="00847F35">
        <w:t>, and</w:t>
      </w:r>
      <w:proofErr w:type="gramEnd"/>
      <w:r w:rsidR="00847F35">
        <w:t xml:space="preserve"> support your recommendations.</w:t>
      </w:r>
      <w:r w:rsidR="0029425F">
        <w:t xml:space="preserve"> Submit all </w:t>
      </w:r>
      <w:r w:rsidR="009E0634">
        <w:t>presentation and analysis materials to “the board” (judges).</w:t>
      </w:r>
    </w:p>
    <w:p w14:paraId="6C24F431" w14:textId="77777777" w:rsidR="00D563E5" w:rsidRDefault="00D563E5" w:rsidP="006974B8">
      <w:pPr>
        <w:pStyle w:val="NoSpacing"/>
        <w:rPr>
          <w:u w:val="single"/>
        </w:rPr>
      </w:pPr>
    </w:p>
    <w:p w14:paraId="49CEEECC" w14:textId="77777777" w:rsidR="00D6141B" w:rsidRDefault="00D6141B" w:rsidP="006974B8">
      <w:pPr>
        <w:pStyle w:val="NoSpacing"/>
        <w:rPr>
          <w:u w:val="single"/>
        </w:rPr>
      </w:pPr>
    </w:p>
    <w:p w14:paraId="15D5053D" w14:textId="245BADBD" w:rsidR="006974B8" w:rsidRPr="00021E1D" w:rsidRDefault="006974B8" w:rsidP="006974B8">
      <w:pPr>
        <w:pStyle w:val="NoSpacing"/>
        <w:rPr>
          <w:b/>
          <w:bCs/>
          <w:sz w:val="28"/>
          <w:szCs w:val="28"/>
        </w:rPr>
      </w:pPr>
      <w:r w:rsidRPr="00021E1D">
        <w:rPr>
          <w:b/>
          <w:bCs/>
          <w:sz w:val="28"/>
          <w:szCs w:val="28"/>
        </w:rPr>
        <w:t>Evaluation criteria:</w:t>
      </w:r>
    </w:p>
    <w:p w14:paraId="4698BA61" w14:textId="77777777" w:rsidR="00CC6436" w:rsidRDefault="00CC6436" w:rsidP="006974B8">
      <w:pPr>
        <w:pStyle w:val="NoSpacing"/>
        <w:rPr>
          <w:u w:val="single"/>
        </w:rPr>
      </w:pPr>
    </w:p>
    <w:p w14:paraId="22F88AEF" w14:textId="147FB8EE" w:rsidR="006974B8" w:rsidRPr="00C530EC" w:rsidRDefault="002F3F2C" w:rsidP="006974B8">
      <w:pPr>
        <w:pStyle w:val="NoSpacing"/>
        <w:numPr>
          <w:ilvl w:val="0"/>
          <w:numId w:val="4"/>
        </w:numPr>
        <w:rPr>
          <w:u w:val="single"/>
        </w:rPr>
      </w:pPr>
      <w:r>
        <w:t>ESG S</w:t>
      </w:r>
      <w:r w:rsidR="006974B8">
        <w:t>trateg</w:t>
      </w:r>
      <w:r>
        <w:t>y</w:t>
      </w:r>
      <w:r w:rsidR="006974B8">
        <w:t xml:space="preserve"> (</w:t>
      </w:r>
      <w:r>
        <w:t>3</w:t>
      </w:r>
      <w:r w:rsidR="006974B8">
        <w:t>0%), cultural (20%)</w:t>
      </w:r>
      <w:r w:rsidR="00D15EB1">
        <w:t xml:space="preserve"> financial (</w:t>
      </w:r>
      <w:r>
        <w:t>4</w:t>
      </w:r>
      <w:r w:rsidR="00D15EB1">
        <w:t xml:space="preserve">0%) </w:t>
      </w:r>
      <w:r>
        <w:t xml:space="preserve">and presentation (10%) </w:t>
      </w:r>
      <w:r w:rsidR="00D15EB1">
        <w:t xml:space="preserve">elements will factor into the evaluation of </w:t>
      </w:r>
      <w:r w:rsidR="001F497E">
        <w:t xml:space="preserve">the </w:t>
      </w:r>
      <w:r w:rsidR="00041435">
        <w:t xml:space="preserve">team’s </w:t>
      </w:r>
      <w:r w:rsidR="001F497E">
        <w:t>recommendation</w:t>
      </w:r>
    </w:p>
    <w:p w14:paraId="1753A74C" w14:textId="77777777" w:rsidR="00C530EC" w:rsidRPr="001F497E" w:rsidRDefault="00C530EC" w:rsidP="00C530EC">
      <w:pPr>
        <w:pStyle w:val="NoSpacing"/>
        <w:ind w:left="720"/>
        <w:rPr>
          <w:u w:val="single"/>
        </w:rPr>
      </w:pPr>
    </w:p>
    <w:p w14:paraId="43D1D4BD" w14:textId="0A9CD055" w:rsidR="001F497E" w:rsidRDefault="00041435" w:rsidP="00041435">
      <w:pPr>
        <w:pStyle w:val="NoSpacing"/>
        <w:numPr>
          <w:ilvl w:val="0"/>
          <w:numId w:val="4"/>
        </w:numPr>
      </w:pPr>
      <w:r>
        <w:t>Consideration will also be given to the quality of presentation material, level of engagement and responses to questions from the audience, and the team’s ability to effectively communicate to the target audience.</w:t>
      </w:r>
    </w:p>
    <w:p w14:paraId="3CF10CF1" w14:textId="20B20589" w:rsidR="003943CE" w:rsidRDefault="003943CE" w:rsidP="003943CE">
      <w:pPr>
        <w:pStyle w:val="NoSpacing"/>
      </w:pPr>
    </w:p>
    <w:p w14:paraId="312163B3" w14:textId="77777777" w:rsidR="00845F3C" w:rsidRPr="003943CE" w:rsidRDefault="00845F3C" w:rsidP="00845F3C">
      <w:pPr>
        <w:pStyle w:val="NoSpacing"/>
      </w:pPr>
    </w:p>
    <w:p w14:paraId="202E9F9F" w14:textId="14B3DCFF" w:rsidR="00021E1D" w:rsidRDefault="00021E1D">
      <w:pPr>
        <w:rPr>
          <w:u w:val="single"/>
        </w:rPr>
      </w:pPr>
      <w:r>
        <w:rPr>
          <w:u w:val="single"/>
        </w:rPr>
        <w:br w:type="page"/>
      </w:r>
    </w:p>
    <w:p w14:paraId="490CC8BB" w14:textId="77777777" w:rsidR="00021E1D" w:rsidRDefault="00021E1D" w:rsidP="00021E1D">
      <w:pPr>
        <w:rPr>
          <w:color w:val="FFFFFF" w:themeColor="background1"/>
          <w:sz w:val="32"/>
          <w:szCs w:val="32"/>
        </w:rPr>
      </w:pPr>
      <w:r w:rsidRPr="0015143A">
        <w:rPr>
          <w:noProof/>
          <w:color w:val="FFFFFF" w:themeColor="background1"/>
          <w:sz w:val="32"/>
          <w:szCs w:val="32"/>
        </w:rPr>
        <w:lastRenderedPageBreak/>
        <mc:AlternateContent>
          <mc:Choice Requires="wps">
            <w:drawing>
              <wp:anchor distT="0" distB="0" distL="114300" distR="114300" simplePos="0" relativeHeight="251663360" behindDoc="1" locked="0" layoutInCell="1" allowOverlap="1" wp14:anchorId="5AA7206F" wp14:editId="58941A70">
                <wp:simplePos x="0" y="0"/>
                <wp:positionH relativeFrom="page">
                  <wp:align>right</wp:align>
                </wp:positionH>
                <wp:positionV relativeFrom="paragraph">
                  <wp:posOffset>-897255</wp:posOffset>
                </wp:positionV>
                <wp:extent cx="7772400" cy="1143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143000"/>
                        </a:xfrm>
                        <a:prstGeom prst="rect">
                          <a:avLst/>
                        </a:prstGeom>
                        <a:gradFill flip="none" rotWithShape="1">
                          <a:gsLst>
                            <a:gs pos="25000">
                              <a:srgbClr val="002855"/>
                            </a:gs>
                            <a:gs pos="100000">
                              <a:srgbClr val="004C97"/>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FA5A5" w14:textId="77777777" w:rsidR="00021E1D" w:rsidRPr="0015143A" w:rsidRDefault="00021E1D" w:rsidP="00021E1D">
                            <w:pPr>
                              <w:ind w:left="720"/>
                              <w:rPr>
                                <w:sz w:val="44"/>
                                <w:szCs w:val="44"/>
                              </w:rPr>
                            </w:pPr>
                            <w:r>
                              <w:rPr>
                                <w:sz w:val="44"/>
                                <w:szCs w:val="44"/>
                              </w:rPr>
                              <w:t>Offering Memorandum: Quant Impact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7206F" id="Rectangle 2" o:spid="_x0000_s1028" alt="&quot;&quot;" style="position:absolute;margin-left:560.8pt;margin-top:-70.65pt;width:612pt;height:90pt;z-index:-25165312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" fillcolor="#002855" stroked="f" strokeweight="1pt">
                <v:fill color2="#004c97" rotate="t" angle="135" colors="0 #002855;.25 #002855" focus="100%" type="gradient">
                  <o:fill v:ext="view" type="gradientUnscaled"/>
                </v:fill>
                <v:textbox>
                  <w:txbxContent>
                    <w:p w14:paraId="43FFA5A5" w14:textId="77777777" w:rsidR="00021E1D" w:rsidRPr="0015143A" w:rsidRDefault="00021E1D" w:rsidP="00021E1D">
                      <w:pPr>
                        <w:ind w:left="720"/>
                        <w:rPr>
                          <w:sz w:val="44"/>
                          <w:szCs w:val="44"/>
                        </w:rPr>
                      </w:pPr>
                      <w:r>
                        <w:rPr>
                          <w:sz w:val="44"/>
                          <w:szCs w:val="44"/>
                        </w:rPr>
                        <w:t>Offering Memorandum: Quant Impact Partners</w:t>
                      </w:r>
                    </w:p>
                  </w:txbxContent>
                </v:textbox>
                <w10:wrap anchorx="page"/>
              </v:rect>
            </w:pict>
          </mc:Fallback>
        </mc:AlternateContent>
      </w:r>
    </w:p>
    <w:p w14:paraId="0A7D89A6" w14:textId="77777777" w:rsidR="00021E1D" w:rsidRPr="00A631EF" w:rsidRDefault="00021E1D" w:rsidP="00021E1D">
      <w:pPr>
        <w:pStyle w:val="NoSpacing"/>
        <w:spacing w:after="120"/>
        <w:rPr>
          <w:b/>
          <w:bCs/>
          <w:u w:val="single"/>
        </w:rPr>
      </w:pPr>
      <w:r w:rsidRPr="00A631EF">
        <w:rPr>
          <w:b/>
          <w:bCs/>
          <w:u w:val="single"/>
        </w:rPr>
        <w:t xml:space="preserve">Company Summary </w:t>
      </w:r>
    </w:p>
    <w:p w14:paraId="0D16655F" w14:textId="77777777" w:rsidR="00021E1D" w:rsidRDefault="00021E1D" w:rsidP="00021E1D">
      <w:pPr>
        <w:pStyle w:val="NoSpacing"/>
      </w:pPr>
      <w:r w:rsidRPr="00DC1D91">
        <w:t>Quant Impact Partners is a private company offering ESG mutual funds that leverage a fully quantitative investment strategy.  Quant Impact was established in 2014 and has 28 employees.</w:t>
      </w:r>
    </w:p>
    <w:p w14:paraId="2F3BAC9A" w14:textId="77777777" w:rsidR="00021E1D" w:rsidRDefault="00021E1D" w:rsidP="00021E1D">
      <w:pPr>
        <w:pStyle w:val="NoSpacing"/>
      </w:pPr>
    </w:p>
    <w:p w14:paraId="1F59678A" w14:textId="769CBE2F" w:rsidR="00021E1D" w:rsidRPr="00A631EF" w:rsidRDefault="00021E1D" w:rsidP="00021E1D">
      <w:pPr>
        <w:pStyle w:val="NoSpacing"/>
        <w:rPr>
          <w:b/>
          <w:bCs/>
          <w:u w:val="single"/>
        </w:rPr>
      </w:pPr>
      <w:r w:rsidRPr="00A631EF">
        <w:rPr>
          <w:b/>
          <w:bCs/>
          <w:u w:val="single"/>
        </w:rPr>
        <w:t>Management Discussion &amp; Analysis</w:t>
      </w:r>
    </w:p>
    <w:p w14:paraId="76390EA7" w14:textId="77777777" w:rsidR="00A631EF" w:rsidRPr="00CD0C16" w:rsidRDefault="00A631EF" w:rsidP="00021E1D">
      <w:pPr>
        <w:pStyle w:val="NoSpacing"/>
      </w:pPr>
    </w:p>
    <w:p w14:paraId="43E5D992" w14:textId="4DE6DCB6" w:rsidR="00021E1D" w:rsidRDefault="00021E1D" w:rsidP="00021E1D">
      <w:pPr>
        <w:pStyle w:val="NoSpacing"/>
        <w:rPr>
          <w:rFonts w:eastAsia="Times New Roman"/>
        </w:rPr>
      </w:pPr>
      <w:r>
        <w:rPr>
          <w:rFonts w:eastAsia="Times New Roman"/>
        </w:rPr>
        <w:t>Quant inc. believes 3 additional basis points of revenue could be squeezed from the small cap space due to the less sophisticated nature of their high-net-worth investors, and absent a sale intended to raise expenses on new contributions to the fund.</w:t>
      </w:r>
    </w:p>
    <w:p w14:paraId="2CAE116D" w14:textId="77777777" w:rsidR="00A631EF" w:rsidRPr="00DC1D91" w:rsidRDefault="00A631EF" w:rsidP="00021E1D">
      <w:pPr>
        <w:pStyle w:val="NoSpacing"/>
        <w:rPr>
          <w:u w:val="single"/>
        </w:rPr>
      </w:pPr>
    </w:p>
    <w:p w14:paraId="63D897F8" w14:textId="77777777" w:rsidR="00021E1D" w:rsidRPr="00A631EF" w:rsidRDefault="00021E1D" w:rsidP="00021E1D">
      <w:pPr>
        <w:pStyle w:val="NoSpacing"/>
        <w:spacing w:after="120"/>
        <w:rPr>
          <w:b/>
          <w:bCs/>
          <w:u w:val="single"/>
        </w:rPr>
      </w:pPr>
      <w:r w:rsidRPr="00A631EF">
        <w:rPr>
          <w:b/>
          <w:bCs/>
          <w:u w:val="single"/>
        </w:rPr>
        <w:t>Product Summary</w:t>
      </w:r>
    </w:p>
    <w:p w14:paraId="074AEE72" w14:textId="77777777" w:rsidR="00021E1D" w:rsidRPr="000A0271" w:rsidRDefault="00021E1D" w:rsidP="00021E1D">
      <w:pPr>
        <w:pStyle w:val="NoSpacing"/>
      </w:pPr>
      <w:r w:rsidRPr="00FD1CB2">
        <w:t>Quant Impact’s seven ESG-focused mutual fund accounts represent over $10 billion in assets under management.</w:t>
      </w:r>
      <w:r>
        <w:t xml:space="preserve">  </w:t>
      </w:r>
      <w:r w:rsidRPr="00FD1CB2">
        <w:t xml:space="preserve">Each fund relies on internal modeling that tracks thousands of trading signals.  Unlike other quant funds, QI models also consider </w:t>
      </w:r>
      <w:r>
        <w:t>environmental, social, and governance data points</w:t>
      </w:r>
      <w:r w:rsidRPr="00FD1CB2">
        <w:t xml:space="preserve"> to drive investment decisions.</w:t>
      </w:r>
      <w:r>
        <w:t xml:space="preserve">  QI also employs a “Fossil Fuel Free” investment policy, restricting investments in coal/oil/gas industries, including exploration, production, refining, storage, distribution, and power generation.</w:t>
      </w:r>
      <w:r w:rsidRPr="003058A7">
        <w:t xml:space="preserve"> </w:t>
      </w:r>
      <w:r>
        <w:t xml:space="preserve"> QI’s funds are heavily concentrated in a small number of ultra-high net worth and institutional customers.</w:t>
      </w:r>
    </w:p>
    <w:p w14:paraId="60AA4DB9" w14:textId="77777777" w:rsidR="00021E1D" w:rsidRDefault="00021E1D" w:rsidP="00021E1D">
      <w:pPr>
        <w:pStyle w:val="NoSpacing"/>
      </w:pPr>
    </w:p>
    <w:tbl>
      <w:tblPr>
        <w:tblStyle w:val="TableGrid"/>
        <w:tblW w:w="9072" w:type="dxa"/>
        <w:jc w:val="center"/>
        <w:tblLook w:val="04A0" w:firstRow="1" w:lastRow="0" w:firstColumn="1" w:lastColumn="0" w:noHBand="0" w:noVBand="1"/>
      </w:tblPr>
      <w:tblGrid>
        <w:gridCol w:w="2448"/>
        <w:gridCol w:w="1296"/>
        <w:gridCol w:w="1296"/>
        <w:gridCol w:w="1008"/>
        <w:gridCol w:w="1008"/>
        <w:gridCol w:w="1008"/>
        <w:gridCol w:w="1008"/>
      </w:tblGrid>
      <w:tr w:rsidR="00021E1D" w:rsidRPr="0015044E" w14:paraId="1D46F940" w14:textId="77777777" w:rsidTr="002F2E6F">
        <w:trPr>
          <w:trHeight w:val="317"/>
          <w:jc w:val="center"/>
        </w:trPr>
        <w:tc>
          <w:tcPr>
            <w:tcW w:w="2448" w:type="dxa"/>
            <w:vMerge w:val="restart"/>
            <w:vAlign w:val="center"/>
          </w:tcPr>
          <w:p w14:paraId="0074A8E6" w14:textId="77777777" w:rsidR="00021E1D" w:rsidRPr="0015044E" w:rsidRDefault="00021E1D" w:rsidP="002F2E6F">
            <w:pPr>
              <w:pStyle w:val="NoSpacing"/>
              <w:rPr>
                <w:b/>
                <w:bCs/>
              </w:rPr>
            </w:pPr>
            <w:r w:rsidRPr="0015044E">
              <w:rPr>
                <w:b/>
                <w:bCs/>
              </w:rPr>
              <w:t>Fund</w:t>
            </w:r>
          </w:p>
        </w:tc>
        <w:tc>
          <w:tcPr>
            <w:tcW w:w="1296" w:type="dxa"/>
            <w:vMerge w:val="restart"/>
            <w:vAlign w:val="center"/>
          </w:tcPr>
          <w:p w14:paraId="1680283E" w14:textId="77777777" w:rsidR="00021E1D" w:rsidRDefault="00021E1D" w:rsidP="002F2E6F">
            <w:pPr>
              <w:pStyle w:val="NoSpacing"/>
              <w:jc w:val="center"/>
              <w:rPr>
                <w:b/>
                <w:bCs/>
              </w:rPr>
            </w:pPr>
            <w:r w:rsidRPr="0015044E">
              <w:rPr>
                <w:b/>
                <w:bCs/>
              </w:rPr>
              <w:t>Assets</w:t>
            </w:r>
          </w:p>
          <w:p w14:paraId="4D949E34" w14:textId="77777777" w:rsidR="00021E1D" w:rsidRPr="00C6191B" w:rsidRDefault="00021E1D" w:rsidP="002F2E6F">
            <w:pPr>
              <w:pStyle w:val="NoSpacing"/>
              <w:jc w:val="center"/>
              <w:rPr>
                <w:i/>
                <w:iCs/>
              </w:rPr>
            </w:pPr>
            <w:r>
              <w:rPr>
                <w:i/>
                <w:iCs/>
              </w:rPr>
              <w:t>(</w:t>
            </w:r>
            <w:r w:rsidRPr="00C6191B">
              <w:rPr>
                <w:i/>
                <w:iCs/>
              </w:rPr>
              <w:t>12/31/22</w:t>
            </w:r>
            <w:r>
              <w:rPr>
                <w:i/>
                <w:iCs/>
              </w:rPr>
              <w:t>)</w:t>
            </w:r>
          </w:p>
        </w:tc>
        <w:tc>
          <w:tcPr>
            <w:tcW w:w="1296" w:type="dxa"/>
            <w:vMerge w:val="restart"/>
            <w:vAlign w:val="center"/>
          </w:tcPr>
          <w:p w14:paraId="59860166" w14:textId="77777777" w:rsidR="00021E1D" w:rsidRPr="0015044E" w:rsidRDefault="00021E1D" w:rsidP="002F2E6F">
            <w:pPr>
              <w:pStyle w:val="NoSpacing"/>
              <w:jc w:val="center"/>
              <w:rPr>
                <w:b/>
                <w:bCs/>
              </w:rPr>
            </w:pPr>
            <w:r w:rsidRPr="0015044E">
              <w:rPr>
                <w:b/>
                <w:bCs/>
              </w:rPr>
              <w:t>Expense Ratio (%)</w:t>
            </w:r>
          </w:p>
        </w:tc>
        <w:tc>
          <w:tcPr>
            <w:tcW w:w="4032" w:type="dxa"/>
            <w:gridSpan w:val="4"/>
            <w:vAlign w:val="center"/>
          </w:tcPr>
          <w:p w14:paraId="04F099BF" w14:textId="77777777" w:rsidR="00021E1D" w:rsidRPr="0015044E" w:rsidRDefault="00021E1D" w:rsidP="002F2E6F">
            <w:pPr>
              <w:pStyle w:val="NoSpacing"/>
              <w:jc w:val="center"/>
              <w:rPr>
                <w:b/>
                <w:bCs/>
              </w:rPr>
            </w:pPr>
            <w:r w:rsidRPr="0015044E">
              <w:rPr>
                <w:b/>
                <w:bCs/>
              </w:rPr>
              <w:t>Performance vs. Benchmark (%)</w:t>
            </w:r>
          </w:p>
        </w:tc>
      </w:tr>
      <w:tr w:rsidR="00021E1D" w:rsidRPr="0015044E" w14:paraId="1E4A4F83" w14:textId="77777777" w:rsidTr="002F2E6F">
        <w:trPr>
          <w:trHeight w:val="317"/>
          <w:jc w:val="center"/>
        </w:trPr>
        <w:tc>
          <w:tcPr>
            <w:tcW w:w="2448" w:type="dxa"/>
            <w:vMerge/>
            <w:vAlign w:val="center"/>
          </w:tcPr>
          <w:p w14:paraId="46D4BCF4" w14:textId="77777777" w:rsidR="00021E1D" w:rsidRPr="0015044E" w:rsidRDefault="00021E1D" w:rsidP="002F2E6F">
            <w:pPr>
              <w:pStyle w:val="NoSpacing"/>
            </w:pPr>
          </w:p>
        </w:tc>
        <w:tc>
          <w:tcPr>
            <w:tcW w:w="1296" w:type="dxa"/>
            <w:vMerge/>
            <w:vAlign w:val="center"/>
          </w:tcPr>
          <w:p w14:paraId="6A61B906" w14:textId="77777777" w:rsidR="00021E1D" w:rsidRPr="0015044E" w:rsidRDefault="00021E1D" w:rsidP="002F2E6F">
            <w:pPr>
              <w:pStyle w:val="NoSpacing"/>
              <w:jc w:val="center"/>
            </w:pPr>
          </w:p>
        </w:tc>
        <w:tc>
          <w:tcPr>
            <w:tcW w:w="1296" w:type="dxa"/>
            <w:vMerge/>
            <w:vAlign w:val="center"/>
          </w:tcPr>
          <w:p w14:paraId="420419F5" w14:textId="77777777" w:rsidR="00021E1D" w:rsidRPr="0015044E" w:rsidRDefault="00021E1D" w:rsidP="002F2E6F">
            <w:pPr>
              <w:pStyle w:val="NoSpacing"/>
              <w:jc w:val="center"/>
            </w:pPr>
          </w:p>
        </w:tc>
        <w:tc>
          <w:tcPr>
            <w:tcW w:w="1008" w:type="dxa"/>
            <w:vAlign w:val="center"/>
          </w:tcPr>
          <w:p w14:paraId="3264B2BB" w14:textId="77777777" w:rsidR="00021E1D" w:rsidRPr="0015044E" w:rsidRDefault="00021E1D" w:rsidP="002F2E6F">
            <w:pPr>
              <w:pStyle w:val="NoSpacing"/>
              <w:jc w:val="center"/>
              <w:rPr>
                <w:i/>
                <w:iCs/>
              </w:rPr>
            </w:pPr>
            <w:r w:rsidRPr="0015044E">
              <w:rPr>
                <w:i/>
                <w:iCs/>
              </w:rPr>
              <w:t>1-yr</w:t>
            </w:r>
          </w:p>
        </w:tc>
        <w:tc>
          <w:tcPr>
            <w:tcW w:w="1008" w:type="dxa"/>
            <w:vAlign w:val="center"/>
          </w:tcPr>
          <w:p w14:paraId="5C298AE5" w14:textId="77777777" w:rsidR="00021E1D" w:rsidRPr="0015044E" w:rsidRDefault="00021E1D" w:rsidP="002F2E6F">
            <w:pPr>
              <w:pStyle w:val="NoSpacing"/>
              <w:jc w:val="center"/>
              <w:rPr>
                <w:i/>
                <w:iCs/>
              </w:rPr>
            </w:pPr>
            <w:r w:rsidRPr="0015044E">
              <w:rPr>
                <w:i/>
                <w:iCs/>
              </w:rPr>
              <w:t>3-yr</w:t>
            </w:r>
          </w:p>
        </w:tc>
        <w:tc>
          <w:tcPr>
            <w:tcW w:w="1008" w:type="dxa"/>
            <w:vAlign w:val="center"/>
          </w:tcPr>
          <w:p w14:paraId="40C260A9" w14:textId="77777777" w:rsidR="00021E1D" w:rsidRPr="0015044E" w:rsidRDefault="00021E1D" w:rsidP="002F2E6F">
            <w:pPr>
              <w:pStyle w:val="NoSpacing"/>
              <w:jc w:val="center"/>
              <w:rPr>
                <w:i/>
                <w:iCs/>
              </w:rPr>
            </w:pPr>
            <w:r w:rsidRPr="0015044E">
              <w:rPr>
                <w:i/>
                <w:iCs/>
              </w:rPr>
              <w:t>5-year</w:t>
            </w:r>
          </w:p>
        </w:tc>
        <w:tc>
          <w:tcPr>
            <w:tcW w:w="1008" w:type="dxa"/>
            <w:vAlign w:val="center"/>
          </w:tcPr>
          <w:p w14:paraId="7C031BB1" w14:textId="77777777" w:rsidR="00021E1D" w:rsidRPr="0015044E" w:rsidRDefault="00021E1D" w:rsidP="002F2E6F">
            <w:pPr>
              <w:pStyle w:val="NoSpacing"/>
              <w:jc w:val="center"/>
              <w:rPr>
                <w:i/>
                <w:iCs/>
              </w:rPr>
            </w:pPr>
            <w:r w:rsidRPr="0015044E">
              <w:rPr>
                <w:i/>
                <w:iCs/>
              </w:rPr>
              <w:t>10-year</w:t>
            </w:r>
          </w:p>
        </w:tc>
      </w:tr>
      <w:tr w:rsidR="00021E1D" w:rsidRPr="0015044E" w14:paraId="39D03FA7" w14:textId="77777777" w:rsidTr="002F2E6F">
        <w:trPr>
          <w:trHeight w:val="317"/>
          <w:jc w:val="center"/>
        </w:trPr>
        <w:tc>
          <w:tcPr>
            <w:tcW w:w="2448" w:type="dxa"/>
            <w:vAlign w:val="center"/>
          </w:tcPr>
          <w:p w14:paraId="23D911F5" w14:textId="77777777" w:rsidR="00021E1D" w:rsidRPr="0015044E" w:rsidRDefault="00021E1D" w:rsidP="002F2E6F">
            <w:pPr>
              <w:pStyle w:val="NoSpacing"/>
            </w:pPr>
            <w:r>
              <w:t>QI International</w:t>
            </w:r>
          </w:p>
        </w:tc>
        <w:tc>
          <w:tcPr>
            <w:tcW w:w="1296" w:type="dxa"/>
            <w:vAlign w:val="center"/>
          </w:tcPr>
          <w:p w14:paraId="5992B4C6" w14:textId="77777777" w:rsidR="00021E1D" w:rsidRPr="0015044E" w:rsidRDefault="00021E1D" w:rsidP="002F2E6F">
            <w:pPr>
              <w:pStyle w:val="NoSpacing"/>
              <w:jc w:val="center"/>
            </w:pPr>
            <w:r>
              <w:t>$596M</w:t>
            </w:r>
          </w:p>
        </w:tc>
        <w:tc>
          <w:tcPr>
            <w:tcW w:w="1296" w:type="dxa"/>
            <w:vAlign w:val="center"/>
          </w:tcPr>
          <w:p w14:paraId="6C2E08C9" w14:textId="77777777" w:rsidR="00021E1D" w:rsidRPr="0015044E" w:rsidRDefault="00021E1D" w:rsidP="002F2E6F">
            <w:pPr>
              <w:pStyle w:val="NoSpacing"/>
              <w:jc w:val="center"/>
            </w:pPr>
            <w:r>
              <w:t>0.89%</w:t>
            </w:r>
          </w:p>
        </w:tc>
        <w:tc>
          <w:tcPr>
            <w:tcW w:w="1008" w:type="dxa"/>
            <w:vAlign w:val="center"/>
          </w:tcPr>
          <w:p w14:paraId="3D1406B3" w14:textId="77777777" w:rsidR="00021E1D" w:rsidRPr="0015044E" w:rsidRDefault="00021E1D" w:rsidP="002F2E6F">
            <w:pPr>
              <w:pStyle w:val="NoSpacing"/>
              <w:jc w:val="center"/>
            </w:pPr>
            <w:r>
              <w:t>-1.03</w:t>
            </w:r>
          </w:p>
        </w:tc>
        <w:tc>
          <w:tcPr>
            <w:tcW w:w="1008" w:type="dxa"/>
            <w:vAlign w:val="center"/>
          </w:tcPr>
          <w:p w14:paraId="4451C849" w14:textId="77777777" w:rsidR="00021E1D" w:rsidRPr="0015044E" w:rsidRDefault="00021E1D" w:rsidP="002F2E6F">
            <w:pPr>
              <w:pStyle w:val="NoSpacing"/>
              <w:jc w:val="center"/>
            </w:pPr>
            <w:r>
              <w:t>-0.90</w:t>
            </w:r>
          </w:p>
        </w:tc>
        <w:tc>
          <w:tcPr>
            <w:tcW w:w="1008" w:type="dxa"/>
            <w:vAlign w:val="center"/>
          </w:tcPr>
          <w:p w14:paraId="107D6865" w14:textId="77777777" w:rsidR="00021E1D" w:rsidRPr="0015044E" w:rsidRDefault="00021E1D" w:rsidP="002F2E6F">
            <w:pPr>
              <w:pStyle w:val="NoSpacing"/>
              <w:jc w:val="center"/>
            </w:pPr>
            <w:r>
              <w:t>-0.02</w:t>
            </w:r>
          </w:p>
        </w:tc>
        <w:tc>
          <w:tcPr>
            <w:tcW w:w="1008" w:type="dxa"/>
            <w:vAlign w:val="center"/>
          </w:tcPr>
          <w:p w14:paraId="361AB64C" w14:textId="77777777" w:rsidR="00021E1D" w:rsidRPr="0015044E" w:rsidRDefault="00021E1D" w:rsidP="002F2E6F">
            <w:pPr>
              <w:pStyle w:val="NoSpacing"/>
              <w:jc w:val="center"/>
            </w:pPr>
            <w:r>
              <w:t>+0.87</w:t>
            </w:r>
          </w:p>
        </w:tc>
      </w:tr>
      <w:tr w:rsidR="00021E1D" w:rsidRPr="0015044E" w14:paraId="6EDDB2A4" w14:textId="77777777" w:rsidTr="002F2E6F">
        <w:trPr>
          <w:trHeight w:val="317"/>
          <w:jc w:val="center"/>
        </w:trPr>
        <w:tc>
          <w:tcPr>
            <w:tcW w:w="2448" w:type="dxa"/>
            <w:vAlign w:val="center"/>
          </w:tcPr>
          <w:p w14:paraId="0526AC6F" w14:textId="77777777" w:rsidR="00021E1D" w:rsidRDefault="00021E1D" w:rsidP="002F2E6F">
            <w:pPr>
              <w:pStyle w:val="NoSpacing"/>
            </w:pPr>
            <w:r>
              <w:t>QI Large Cap</w:t>
            </w:r>
          </w:p>
        </w:tc>
        <w:tc>
          <w:tcPr>
            <w:tcW w:w="1296" w:type="dxa"/>
            <w:vAlign w:val="center"/>
          </w:tcPr>
          <w:p w14:paraId="37B1CBBB" w14:textId="77777777" w:rsidR="00021E1D" w:rsidRPr="0015044E" w:rsidRDefault="00021E1D" w:rsidP="002F2E6F">
            <w:pPr>
              <w:pStyle w:val="NoSpacing"/>
              <w:jc w:val="center"/>
            </w:pPr>
            <w:r>
              <w:t>$4,244M</w:t>
            </w:r>
          </w:p>
        </w:tc>
        <w:tc>
          <w:tcPr>
            <w:tcW w:w="1296" w:type="dxa"/>
            <w:vAlign w:val="center"/>
          </w:tcPr>
          <w:p w14:paraId="3AE1A19F" w14:textId="77777777" w:rsidR="00021E1D" w:rsidRPr="0015044E" w:rsidRDefault="00021E1D" w:rsidP="002F2E6F">
            <w:pPr>
              <w:pStyle w:val="NoSpacing"/>
              <w:jc w:val="center"/>
            </w:pPr>
            <w:r>
              <w:t>0.69%</w:t>
            </w:r>
          </w:p>
        </w:tc>
        <w:tc>
          <w:tcPr>
            <w:tcW w:w="1008" w:type="dxa"/>
            <w:vAlign w:val="center"/>
          </w:tcPr>
          <w:p w14:paraId="7D021EAF" w14:textId="77777777" w:rsidR="00021E1D" w:rsidRPr="0015044E" w:rsidRDefault="00021E1D" w:rsidP="002F2E6F">
            <w:pPr>
              <w:pStyle w:val="NoSpacing"/>
              <w:jc w:val="center"/>
            </w:pPr>
            <w:r>
              <w:t>-3.27</w:t>
            </w:r>
          </w:p>
        </w:tc>
        <w:tc>
          <w:tcPr>
            <w:tcW w:w="1008" w:type="dxa"/>
            <w:vAlign w:val="center"/>
          </w:tcPr>
          <w:p w14:paraId="55601C2E" w14:textId="77777777" w:rsidR="00021E1D" w:rsidRPr="0015044E" w:rsidRDefault="00021E1D" w:rsidP="002F2E6F">
            <w:pPr>
              <w:pStyle w:val="NoSpacing"/>
              <w:jc w:val="center"/>
            </w:pPr>
            <w:r>
              <w:t>-1.08</w:t>
            </w:r>
          </w:p>
        </w:tc>
        <w:tc>
          <w:tcPr>
            <w:tcW w:w="1008" w:type="dxa"/>
            <w:vAlign w:val="center"/>
          </w:tcPr>
          <w:p w14:paraId="6325ED3F" w14:textId="77777777" w:rsidR="00021E1D" w:rsidRPr="0015044E" w:rsidRDefault="00021E1D" w:rsidP="002F2E6F">
            <w:pPr>
              <w:pStyle w:val="NoSpacing"/>
              <w:jc w:val="center"/>
            </w:pPr>
            <w:r>
              <w:t>+0.09</w:t>
            </w:r>
          </w:p>
        </w:tc>
        <w:tc>
          <w:tcPr>
            <w:tcW w:w="1008" w:type="dxa"/>
            <w:vAlign w:val="center"/>
          </w:tcPr>
          <w:p w14:paraId="410B703D" w14:textId="77777777" w:rsidR="00021E1D" w:rsidRPr="0015044E" w:rsidRDefault="00021E1D" w:rsidP="002F2E6F">
            <w:pPr>
              <w:pStyle w:val="NoSpacing"/>
              <w:jc w:val="center"/>
            </w:pPr>
            <w:r>
              <w:t>+1.56</w:t>
            </w:r>
          </w:p>
        </w:tc>
      </w:tr>
      <w:tr w:rsidR="00021E1D" w:rsidRPr="0015044E" w14:paraId="16C4D9E4" w14:textId="77777777" w:rsidTr="002F2E6F">
        <w:trPr>
          <w:trHeight w:val="317"/>
          <w:jc w:val="center"/>
        </w:trPr>
        <w:tc>
          <w:tcPr>
            <w:tcW w:w="2448" w:type="dxa"/>
            <w:vAlign w:val="center"/>
          </w:tcPr>
          <w:p w14:paraId="4A1B3FA7" w14:textId="77777777" w:rsidR="00021E1D" w:rsidRDefault="00021E1D" w:rsidP="002F2E6F">
            <w:pPr>
              <w:pStyle w:val="NoSpacing"/>
            </w:pPr>
            <w:r>
              <w:t>QI Mid Cap</w:t>
            </w:r>
          </w:p>
        </w:tc>
        <w:tc>
          <w:tcPr>
            <w:tcW w:w="1296" w:type="dxa"/>
            <w:vAlign w:val="center"/>
          </w:tcPr>
          <w:p w14:paraId="1265D019" w14:textId="77777777" w:rsidR="00021E1D" w:rsidRPr="0015044E" w:rsidRDefault="00021E1D" w:rsidP="002F2E6F">
            <w:pPr>
              <w:pStyle w:val="NoSpacing"/>
              <w:jc w:val="center"/>
            </w:pPr>
            <w:r>
              <w:t>$1,820M</w:t>
            </w:r>
          </w:p>
        </w:tc>
        <w:tc>
          <w:tcPr>
            <w:tcW w:w="1296" w:type="dxa"/>
            <w:vAlign w:val="center"/>
          </w:tcPr>
          <w:p w14:paraId="66ED0E2B" w14:textId="77777777" w:rsidR="00021E1D" w:rsidRPr="0015044E" w:rsidRDefault="00021E1D" w:rsidP="002F2E6F">
            <w:pPr>
              <w:pStyle w:val="NoSpacing"/>
              <w:jc w:val="center"/>
            </w:pPr>
            <w:r>
              <w:t>0.69%</w:t>
            </w:r>
          </w:p>
        </w:tc>
        <w:tc>
          <w:tcPr>
            <w:tcW w:w="1008" w:type="dxa"/>
            <w:vAlign w:val="center"/>
          </w:tcPr>
          <w:p w14:paraId="2F458594" w14:textId="77777777" w:rsidR="00021E1D" w:rsidRPr="0015044E" w:rsidRDefault="00021E1D" w:rsidP="002F2E6F">
            <w:pPr>
              <w:pStyle w:val="NoSpacing"/>
              <w:jc w:val="center"/>
            </w:pPr>
            <w:r>
              <w:t>-2.08</w:t>
            </w:r>
          </w:p>
        </w:tc>
        <w:tc>
          <w:tcPr>
            <w:tcW w:w="1008" w:type="dxa"/>
            <w:vAlign w:val="center"/>
          </w:tcPr>
          <w:p w14:paraId="19223F35" w14:textId="77777777" w:rsidR="00021E1D" w:rsidRPr="0015044E" w:rsidRDefault="00021E1D" w:rsidP="002F2E6F">
            <w:pPr>
              <w:pStyle w:val="NoSpacing"/>
              <w:jc w:val="center"/>
            </w:pPr>
            <w:r>
              <w:t>-1.79</w:t>
            </w:r>
          </w:p>
        </w:tc>
        <w:tc>
          <w:tcPr>
            <w:tcW w:w="1008" w:type="dxa"/>
            <w:vAlign w:val="center"/>
          </w:tcPr>
          <w:p w14:paraId="51DF8FD2" w14:textId="77777777" w:rsidR="00021E1D" w:rsidRPr="0015044E" w:rsidRDefault="00021E1D" w:rsidP="002F2E6F">
            <w:pPr>
              <w:pStyle w:val="NoSpacing"/>
              <w:jc w:val="center"/>
            </w:pPr>
            <w:r>
              <w:t>-0.16</w:t>
            </w:r>
          </w:p>
        </w:tc>
        <w:tc>
          <w:tcPr>
            <w:tcW w:w="1008" w:type="dxa"/>
            <w:vAlign w:val="center"/>
          </w:tcPr>
          <w:p w14:paraId="089D54A4" w14:textId="77777777" w:rsidR="00021E1D" w:rsidRPr="0015044E" w:rsidRDefault="00021E1D" w:rsidP="002F2E6F">
            <w:pPr>
              <w:pStyle w:val="NoSpacing"/>
              <w:jc w:val="center"/>
            </w:pPr>
            <w:r>
              <w:t>+1.19</w:t>
            </w:r>
          </w:p>
        </w:tc>
      </w:tr>
      <w:tr w:rsidR="00021E1D" w:rsidRPr="0015044E" w14:paraId="6CDA0432" w14:textId="77777777" w:rsidTr="002F2E6F">
        <w:trPr>
          <w:trHeight w:val="317"/>
          <w:jc w:val="center"/>
        </w:trPr>
        <w:tc>
          <w:tcPr>
            <w:tcW w:w="2448" w:type="dxa"/>
            <w:vAlign w:val="center"/>
          </w:tcPr>
          <w:p w14:paraId="18E7D027" w14:textId="77777777" w:rsidR="00021E1D" w:rsidRPr="0015044E" w:rsidRDefault="00021E1D" w:rsidP="002F2E6F">
            <w:pPr>
              <w:pStyle w:val="NoSpacing"/>
            </w:pPr>
            <w:r>
              <w:t>QI Small Cap</w:t>
            </w:r>
          </w:p>
        </w:tc>
        <w:tc>
          <w:tcPr>
            <w:tcW w:w="1296" w:type="dxa"/>
            <w:vAlign w:val="center"/>
          </w:tcPr>
          <w:p w14:paraId="10293738" w14:textId="77777777" w:rsidR="00021E1D" w:rsidRPr="0015044E" w:rsidRDefault="00021E1D" w:rsidP="002F2E6F">
            <w:pPr>
              <w:pStyle w:val="NoSpacing"/>
              <w:jc w:val="center"/>
            </w:pPr>
            <w:r>
              <w:t>$882M</w:t>
            </w:r>
          </w:p>
        </w:tc>
        <w:tc>
          <w:tcPr>
            <w:tcW w:w="1296" w:type="dxa"/>
            <w:vAlign w:val="center"/>
          </w:tcPr>
          <w:p w14:paraId="18382B06" w14:textId="77777777" w:rsidR="00021E1D" w:rsidRPr="0015044E" w:rsidRDefault="00021E1D" w:rsidP="002F2E6F">
            <w:pPr>
              <w:pStyle w:val="NoSpacing"/>
              <w:jc w:val="center"/>
            </w:pPr>
            <w:r>
              <w:t>0.69%</w:t>
            </w:r>
          </w:p>
        </w:tc>
        <w:tc>
          <w:tcPr>
            <w:tcW w:w="1008" w:type="dxa"/>
            <w:vAlign w:val="center"/>
          </w:tcPr>
          <w:p w14:paraId="3DD74A30" w14:textId="77777777" w:rsidR="00021E1D" w:rsidRPr="0015044E" w:rsidRDefault="00021E1D" w:rsidP="002F2E6F">
            <w:pPr>
              <w:pStyle w:val="NoSpacing"/>
              <w:jc w:val="center"/>
            </w:pPr>
            <w:r>
              <w:t>-3.39</w:t>
            </w:r>
          </w:p>
        </w:tc>
        <w:tc>
          <w:tcPr>
            <w:tcW w:w="1008" w:type="dxa"/>
            <w:vAlign w:val="center"/>
          </w:tcPr>
          <w:p w14:paraId="0745F872" w14:textId="77777777" w:rsidR="00021E1D" w:rsidRPr="0015044E" w:rsidRDefault="00021E1D" w:rsidP="002F2E6F">
            <w:pPr>
              <w:pStyle w:val="NoSpacing"/>
              <w:jc w:val="center"/>
            </w:pPr>
            <w:r>
              <w:t>-1.29</w:t>
            </w:r>
          </w:p>
        </w:tc>
        <w:tc>
          <w:tcPr>
            <w:tcW w:w="1008" w:type="dxa"/>
            <w:vAlign w:val="center"/>
          </w:tcPr>
          <w:p w14:paraId="2258DB33" w14:textId="77777777" w:rsidR="00021E1D" w:rsidRPr="0015044E" w:rsidRDefault="00021E1D" w:rsidP="002F2E6F">
            <w:pPr>
              <w:pStyle w:val="NoSpacing"/>
              <w:jc w:val="center"/>
            </w:pPr>
            <w:r>
              <w:t>+0.68</w:t>
            </w:r>
          </w:p>
        </w:tc>
        <w:tc>
          <w:tcPr>
            <w:tcW w:w="1008" w:type="dxa"/>
            <w:vAlign w:val="center"/>
          </w:tcPr>
          <w:p w14:paraId="45DDE654" w14:textId="77777777" w:rsidR="00021E1D" w:rsidRPr="0015044E" w:rsidRDefault="00021E1D" w:rsidP="002F2E6F">
            <w:pPr>
              <w:pStyle w:val="NoSpacing"/>
              <w:jc w:val="center"/>
            </w:pPr>
            <w:r>
              <w:t>+2.01</w:t>
            </w:r>
          </w:p>
        </w:tc>
      </w:tr>
      <w:tr w:rsidR="00021E1D" w:rsidRPr="0015044E" w14:paraId="2393CE2B" w14:textId="77777777" w:rsidTr="002F2E6F">
        <w:trPr>
          <w:trHeight w:val="317"/>
          <w:jc w:val="center"/>
        </w:trPr>
        <w:tc>
          <w:tcPr>
            <w:tcW w:w="2448" w:type="dxa"/>
            <w:vAlign w:val="center"/>
          </w:tcPr>
          <w:p w14:paraId="02DFF0A6" w14:textId="77777777" w:rsidR="00021E1D" w:rsidRPr="0015044E" w:rsidRDefault="00021E1D" w:rsidP="002F2E6F">
            <w:pPr>
              <w:pStyle w:val="NoSpacing"/>
            </w:pPr>
            <w:r>
              <w:t>QI Balanced</w:t>
            </w:r>
          </w:p>
        </w:tc>
        <w:tc>
          <w:tcPr>
            <w:tcW w:w="1296" w:type="dxa"/>
            <w:vAlign w:val="center"/>
          </w:tcPr>
          <w:p w14:paraId="641FB4CB" w14:textId="77777777" w:rsidR="00021E1D" w:rsidRPr="0015044E" w:rsidRDefault="00021E1D" w:rsidP="002F2E6F">
            <w:pPr>
              <w:pStyle w:val="NoSpacing"/>
              <w:jc w:val="center"/>
            </w:pPr>
            <w:r>
              <w:t>$1,027M</w:t>
            </w:r>
          </w:p>
        </w:tc>
        <w:tc>
          <w:tcPr>
            <w:tcW w:w="1296" w:type="dxa"/>
            <w:vAlign w:val="center"/>
          </w:tcPr>
          <w:p w14:paraId="2F67BB32" w14:textId="77777777" w:rsidR="00021E1D" w:rsidRPr="0015044E" w:rsidRDefault="00021E1D" w:rsidP="002F2E6F">
            <w:pPr>
              <w:pStyle w:val="NoSpacing"/>
              <w:jc w:val="center"/>
            </w:pPr>
            <w:r>
              <w:t>0.59%</w:t>
            </w:r>
          </w:p>
        </w:tc>
        <w:tc>
          <w:tcPr>
            <w:tcW w:w="1008" w:type="dxa"/>
            <w:vAlign w:val="center"/>
          </w:tcPr>
          <w:p w14:paraId="398549C7" w14:textId="77777777" w:rsidR="00021E1D" w:rsidRPr="0015044E" w:rsidRDefault="00021E1D" w:rsidP="002F2E6F">
            <w:pPr>
              <w:pStyle w:val="NoSpacing"/>
              <w:jc w:val="center"/>
            </w:pPr>
            <w:r>
              <w:t>-0.57</w:t>
            </w:r>
          </w:p>
        </w:tc>
        <w:tc>
          <w:tcPr>
            <w:tcW w:w="1008" w:type="dxa"/>
            <w:vAlign w:val="center"/>
          </w:tcPr>
          <w:p w14:paraId="496C1E40" w14:textId="77777777" w:rsidR="00021E1D" w:rsidRPr="0015044E" w:rsidRDefault="00021E1D" w:rsidP="002F2E6F">
            <w:pPr>
              <w:pStyle w:val="NoSpacing"/>
              <w:jc w:val="center"/>
            </w:pPr>
            <w:r>
              <w:t>+0.90</w:t>
            </w:r>
          </w:p>
        </w:tc>
        <w:tc>
          <w:tcPr>
            <w:tcW w:w="1008" w:type="dxa"/>
            <w:vAlign w:val="center"/>
          </w:tcPr>
          <w:p w14:paraId="53D1579D" w14:textId="77777777" w:rsidR="00021E1D" w:rsidRPr="0015044E" w:rsidRDefault="00021E1D" w:rsidP="002F2E6F">
            <w:pPr>
              <w:pStyle w:val="NoSpacing"/>
              <w:jc w:val="center"/>
            </w:pPr>
            <w:r>
              <w:t>+1.32</w:t>
            </w:r>
          </w:p>
        </w:tc>
        <w:tc>
          <w:tcPr>
            <w:tcW w:w="1008" w:type="dxa"/>
            <w:vAlign w:val="center"/>
          </w:tcPr>
          <w:p w14:paraId="211AFE20" w14:textId="77777777" w:rsidR="00021E1D" w:rsidRPr="0015044E" w:rsidRDefault="00021E1D" w:rsidP="002F2E6F">
            <w:pPr>
              <w:pStyle w:val="NoSpacing"/>
              <w:jc w:val="center"/>
            </w:pPr>
            <w:r>
              <w:t>+1.70</w:t>
            </w:r>
          </w:p>
        </w:tc>
      </w:tr>
      <w:tr w:rsidR="00021E1D" w:rsidRPr="0015044E" w14:paraId="3D06CD20" w14:textId="77777777" w:rsidTr="002F2E6F">
        <w:trPr>
          <w:trHeight w:val="317"/>
          <w:jc w:val="center"/>
        </w:trPr>
        <w:tc>
          <w:tcPr>
            <w:tcW w:w="2448" w:type="dxa"/>
            <w:vAlign w:val="center"/>
          </w:tcPr>
          <w:p w14:paraId="78591877" w14:textId="77777777" w:rsidR="00021E1D" w:rsidRPr="0015044E" w:rsidRDefault="00021E1D" w:rsidP="002F2E6F">
            <w:pPr>
              <w:pStyle w:val="NoSpacing"/>
            </w:pPr>
            <w:r>
              <w:t>QI Bond</w:t>
            </w:r>
          </w:p>
        </w:tc>
        <w:tc>
          <w:tcPr>
            <w:tcW w:w="1296" w:type="dxa"/>
            <w:vAlign w:val="center"/>
          </w:tcPr>
          <w:p w14:paraId="0D0C8D10" w14:textId="77777777" w:rsidR="00021E1D" w:rsidRPr="0015044E" w:rsidRDefault="00021E1D" w:rsidP="002F2E6F">
            <w:pPr>
              <w:pStyle w:val="NoSpacing"/>
              <w:jc w:val="center"/>
            </w:pPr>
            <w:r>
              <w:t>$1,279M</w:t>
            </w:r>
          </w:p>
        </w:tc>
        <w:tc>
          <w:tcPr>
            <w:tcW w:w="1296" w:type="dxa"/>
            <w:vAlign w:val="center"/>
          </w:tcPr>
          <w:p w14:paraId="358C4DCB" w14:textId="77777777" w:rsidR="00021E1D" w:rsidRPr="0015044E" w:rsidRDefault="00021E1D" w:rsidP="002F2E6F">
            <w:pPr>
              <w:pStyle w:val="NoSpacing"/>
              <w:jc w:val="center"/>
            </w:pPr>
            <w:r>
              <w:t>0.49%</w:t>
            </w:r>
          </w:p>
        </w:tc>
        <w:tc>
          <w:tcPr>
            <w:tcW w:w="1008" w:type="dxa"/>
            <w:vAlign w:val="center"/>
          </w:tcPr>
          <w:p w14:paraId="62913A50" w14:textId="77777777" w:rsidR="00021E1D" w:rsidRPr="0015044E" w:rsidRDefault="00021E1D" w:rsidP="002F2E6F">
            <w:pPr>
              <w:pStyle w:val="NoSpacing"/>
              <w:jc w:val="center"/>
            </w:pPr>
            <w:r>
              <w:t>+0.23</w:t>
            </w:r>
          </w:p>
        </w:tc>
        <w:tc>
          <w:tcPr>
            <w:tcW w:w="1008" w:type="dxa"/>
            <w:vAlign w:val="center"/>
          </w:tcPr>
          <w:p w14:paraId="7876F988" w14:textId="77777777" w:rsidR="00021E1D" w:rsidRPr="0015044E" w:rsidRDefault="00021E1D" w:rsidP="002F2E6F">
            <w:pPr>
              <w:pStyle w:val="NoSpacing"/>
              <w:jc w:val="center"/>
            </w:pPr>
            <w:r>
              <w:t>+0.43</w:t>
            </w:r>
          </w:p>
        </w:tc>
        <w:tc>
          <w:tcPr>
            <w:tcW w:w="1008" w:type="dxa"/>
            <w:vAlign w:val="center"/>
          </w:tcPr>
          <w:p w14:paraId="074FDAE2" w14:textId="77777777" w:rsidR="00021E1D" w:rsidRPr="0015044E" w:rsidRDefault="00021E1D" w:rsidP="002F2E6F">
            <w:pPr>
              <w:pStyle w:val="NoSpacing"/>
              <w:jc w:val="center"/>
            </w:pPr>
            <w:r>
              <w:t>+0.09</w:t>
            </w:r>
          </w:p>
        </w:tc>
        <w:tc>
          <w:tcPr>
            <w:tcW w:w="1008" w:type="dxa"/>
            <w:vAlign w:val="center"/>
          </w:tcPr>
          <w:p w14:paraId="1D8CC8F9" w14:textId="77777777" w:rsidR="00021E1D" w:rsidRPr="0015044E" w:rsidRDefault="00021E1D" w:rsidP="002F2E6F">
            <w:pPr>
              <w:pStyle w:val="NoSpacing"/>
              <w:jc w:val="center"/>
            </w:pPr>
            <w:r>
              <w:t>-0.27</w:t>
            </w:r>
          </w:p>
        </w:tc>
      </w:tr>
      <w:tr w:rsidR="00021E1D" w:rsidRPr="0015044E" w14:paraId="3354E153" w14:textId="77777777" w:rsidTr="002F2E6F">
        <w:trPr>
          <w:trHeight w:val="317"/>
          <w:jc w:val="center"/>
        </w:trPr>
        <w:tc>
          <w:tcPr>
            <w:tcW w:w="2448" w:type="dxa"/>
            <w:vAlign w:val="center"/>
          </w:tcPr>
          <w:p w14:paraId="48F82834" w14:textId="77777777" w:rsidR="00021E1D" w:rsidRPr="0015044E" w:rsidRDefault="00021E1D" w:rsidP="002F2E6F">
            <w:pPr>
              <w:pStyle w:val="NoSpacing"/>
            </w:pPr>
            <w:r>
              <w:t>QI Income</w:t>
            </w:r>
          </w:p>
        </w:tc>
        <w:tc>
          <w:tcPr>
            <w:tcW w:w="1296" w:type="dxa"/>
            <w:vAlign w:val="center"/>
          </w:tcPr>
          <w:p w14:paraId="732B3C16" w14:textId="77777777" w:rsidR="00021E1D" w:rsidRPr="0015044E" w:rsidRDefault="00021E1D" w:rsidP="002F2E6F">
            <w:pPr>
              <w:pStyle w:val="NoSpacing"/>
              <w:jc w:val="center"/>
            </w:pPr>
            <w:r>
              <w:t>$345M</w:t>
            </w:r>
          </w:p>
        </w:tc>
        <w:tc>
          <w:tcPr>
            <w:tcW w:w="1296" w:type="dxa"/>
            <w:vAlign w:val="center"/>
          </w:tcPr>
          <w:p w14:paraId="5CAD1918" w14:textId="77777777" w:rsidR="00021E1D" w:rsidRPr="0015044E" w:rsidRDefault="00021E1D" w:rsidP="002F2E6F">
            <w:pPr>
              <w:pStyle w:val="NoSpacing"/>
              <w:jc w:val="center"/>
            </w:pPr>
            <w:r>
              <w:t>0.49%</w:t>
            </w:r>
          </w:p>
        </w:tc>
        <w:tc>
          <w:tcPr>
            <w:tcW w:w="1008" w:type="dxa"/>
            <w:vAlign w:val="center"/>
          </w:tcPr>
          <w:p w14:paraId="77A8865B" w14:textId="77777777" w:rsidR="00021E1D" w:rsidRPr="0015044E" w:rsidRDefault="00021E1D" w:rsidP="002F2E6F">
            <w:pPr>
              <w:pStyle w:val="NoSpacing"/>
              <w:jc w:val="center"/>
            </w:pPr>
            <w:r>
              <w:t>+0.03</w:t>
            </w:r>
          </w:p>
        </w:tc>
        <w:tc>
          <w:tcPr>
            <w:tcW w:w="1008" w:type="dxa"/>
            <w:vAlign w:val="center"/>
          </w:tcPr>
          <w:p w14:paraId="17374CB1" w14:textId="77777777" w:rsidR="00021E1D" w:rsidRPr="0015044E" w:rsidRDefault="00021E1D" w:rsidP="002F2E6F">
            <w:pPr>
              <w:pStyle w:val="NoSpacing"/>
              <w:jc w:val="center"/>
            </w:pPr>
            <w:r>
              <w:t>+0.10</w:t>
            </w:r>
          </w:p>
        </w:tc>
        <w:tc>
          <w:tcPr>
            <w:tcW w:w="1008" w:type="dxa"/>
            <w:vAlign w:val="center"/>
          </w:tcPr>
          <w:p w14:paraId="3F85F10D" w14:textId="77777777" w:rsidR="00021E1D" w:rsidRPr="0015044E" w:rsidRDefault="00021E1D" w:rsidP="002F2E6F">
            <w:pPr>
              <w:pStyle w:val="NoSpacing"/>
              <w:jc w:val="center"/>
            </w:pPr>
            <w:r>
              <w:t>-0.22</w:t>
            </w:r>
          </w:p>
        </w:tc>
        <w:tc>
          <w:tcPr>
            <w:tcW w:w="1008" w:type="dxa"/>
            <w:vAlign w:val="center"/>
          </w:tcPr>
          <w:p w14:paraId="107D55E5" w14:textId="77777777" w:rsidR="00021E1D" w:rsidRPr="0015044E" w:rsidRDefault="00021E1D" w:rsidP="002F2E6F">
            <w:pPr>
              <w:pStyle w:val="NoSpacing"/>
              <w:jc w:val="center"/>
            </w:pPr>
            <w:r>
              <w:t>-0.19</w:t>
            </w:r>
          </w:p>
        </w:tc>
      </w:tr>
    </w:tbl>
    <w:p w14:paraId="5A54EA4B" w14:textId="77777777" w:rsidR="00021E1D" w:rsidRPr="00DC1D91" w:rsidRDefault="00021E1D" w:rsidP="00021E1D">
      <w:pPr>
        <w:pStyle w:val="NoSpacing"/>
        <w:rPr>
          <w:u w:val="single"/>
        </w:rPr>
      </w:pPr>
    </w:p>
    <w:p w14:paraId="06AD217B" w14:textId="77777777" w:rsidR="00021E1D" w:rsidRPr="00A631EF" w:rsidRDefault="00021E1D" w:rsidP="00021E1D">
      <w:pPr>
        <w:pStyle w:val="NoSpacing"/>
        <w:spacing w:after="120"/>
        <w:rPr>
          <w:b/>
          <w:bCs/>
          <w:u w:val="single"/>
        </w:rPr>
      </w:pPr>
      <w:r w:rsidRPr="00A631EF">
        <w:rPr>
          <w:b/>
          <w:bCs/>
          <w:u w:val="single"/>
        </w:rPr>
        <w:t>Risk Factors</w:t>
      </w:r>
    </w:p>
    <w:p w14:paraId="3AEA242E" w14:textId="77777777" w:rsidR="00021E1D" w:rsidRPr="00DC1D91" w:rsidRDefault="00021E1D" w:rsidP="00021E1D">
      <w:pPr>
        <w:pStyle w:val="NoSpacing"/>
      </w:pPr>
      <w:r>
        <w:t>Since its founding in 2014, Quant Impact Partners has experienced high turnover of key employees.  This trend accelerated in 2022, with the departure of two equity fund portfolio managers and one debt fund portfolio manager.</w:t>
      </w:r>
    </w:p>
    <w:p w14:paraId="437AD0E7" w14:textId="77777777" w:rsidR="00021E1D" w:rsidRPr="00DC1D91" w:rsidRDefault="00021E1D" w:rsidP="00021E1D">
      <w:pPr>
        <w:pStyle w:val="NoSpacing"/>
      </w:pPr>
    </w:p>
    <w:p w14:paraId="59ACFFBD" w14:textId="77777777" w:rsidR="00021E1D" w:rsidRPr="00A631EF" w:rsidRDefault="00021E1D" w:rsidP="00021E1D">
      <w:pPr>
        <w:pStyle w:val="NoSpacing"/>
        <w:spacing w:after="120"/>
        <w:rPr>
          <w:b/>
          <w:bCs/>
          <w:u w:val="single"/>
        </w:rPr>
      </w:pPr>
      <w:r w:rsidRPr="00A631EF">
        <w:rPr>
          <w:b/>
          <w:bCs/>
          <w:u w:val="single"/>
        </w:rPr>
        <w:t>Acquisition Summary</w:t>
      </w:r>
    </w:p>
    <w:p w14:paraId="79B99BE4" w14:textId="77777777" w:rsidR="00021E1D" w:rsidRDefault="00021E1D" w:rsidP="00021E1D">
      <w:pPr>
        <w:pStyle w:val="NoSpacing"/>
        <w:numPr>
          <w:ilvl w:val="0"/>
          <w:numId w:val="2"/>
        </w:numPr>
      </w:pPr>
      <w:r>
        <w:t>Minimum Bid Accepted: $416M USD</w:t>
      </w:r>
    </w:p>
    <w:p w14:paraId="609E6CB1" w14:textId="77777777" w:rsidR="00021E1D" w:rsidRDefault="00021E1D" w:rsidP="00021E1D">
      <w:pPr>
        <w:pStyle w:val="NoSpacing"/>
        <w:numPr>
          <w:ilvl w:val="0"/>
          <w:numId w:val="2"/>
        </w:numPr>
      </w:pPr>
      <w:r>
        <w:t>Synergies Assumed:</w:t>
      </w:r>
    </w:p>
    <w:p w14:paraId="38BCADAC" w14:textId="77777777" w:rsidR="00021E1D" w:rsidRPr="00AD2515" w:rsidRDefault="00021E1D" w:rsidP="00021E1D">
      <w:pPr>
        <w:pStyle w:val="NoSpacing"/>
        <w:numPr>
          <w:ilvl w:val="1"/>
          <w:numId w:val="2"/>
        </w:numPr>
      </w:pPr>
      <w:r>
        <w:t>10% Compensation Synergy</w:t>
      </w:r>
    </w:p>
    <w:p w14:paraId="395F847D" w14:textId="77777777" w:rsidR="00021E1D" w:rsidRDefault="00021E1D" w:rsidP="00021E1D">
      <w:pPr>
        <w:pStyle w:val="NoSpacing"/>
        <w:numPr>
          <w:ilvl w:val="1"/>
          <w:numId w:val="2"/>
        </w:numPr>
      </w:pPr>
      <w:r>
        <w:t>30% General and Administrative Synergy</w:t>
      </w:r>
    </w:p>
    <w:p w14:paraId="206A838F" w14:textId="77777777" w:rsidR="00021E1D" w:rsidRPr="00AD2515" w:rsidRDefault="00021E1D" w:rsidP="00021E1D">
      <w:pPr>
        <w:pStyle w:val="NoSpacing"/>
        <w:numPr>
          <w:ilvl w:val="1"/>
          <w:numId w:val="2"/>
        </w:numPr>
      </w:pPr>
      <w:r>
        <w:t>75% capture of expected synergy benefits</w:t>
      </w:r>
    </w:p>
    <w:p w14:paraId="5331EA1E" w14:textId="415A2A71" w:rsidR="00021E1D" w:rsidRPr="00A631EF" w:rsidRDefault="00021E1D" w:rsidP="00E21587">
      <w:pPr>
        <w:pStyle w:val="NoSpacing"/>
        <w:numPr>
          <w:ilvl w:val="1"/>
          <w:numId w:val="2"/>
        </w:numPr>
        <w:rPr>
          <w:u w:val="single"/>
        </w:rPr>
      </w:pPr>
      <w:r>
        <w:t>5% Shock Lapse to Management and Advisory Fees upon announcement of deal (Negative Synergy)</w:t>
      </w:r>
      <w:r w:rsidRPr="00A631EF">
        <w:rPr>
          <w:u w:val="single"/>
        </w:rPr>
        <w:br w:type="page"/>
      </w:r>
    </w:p>
    <w:p w14:paraId="4DEE9E5F" w14:textId="77777777" w:rsidR="00021E1D" w:rsidRDefault="00021E1D" w:rsidP="00021E1D">
      <w:pPr>
        <w:rPr>
          <w:color w:val="FFFFFF" w:themeColor="background1"/>
          <w:sz w:val="32"/>
          <w:szCs w:val="32"/>
        </w:rPr>
      </w:pPr>
      <w:r w:rsidRPr="0015143A">
        <w:rPr>
          <w:noProof/>
          <w:color w:val="FFFFFF" w:themeColor="background1"/>
          <w:sz w:val="32"/>
          <w:szCs w:val="32"/>
        </w:rPr>
        <w:lastRenderedPageBreak/>
        <mc:AlternateContent>
          <mc:Choice Requires="wps">
            <w:drawing>
              <wp:anchor distT="0" distB="0" distL="114300" distR="114300" simplePos="0" relativeHeight="251665408" behindDoc="1" locked="0" layoutInCell="1" allowOverlap="1" wp14:anchorId="19F22D29" wp14:editId="7ABB2E38">
                <wp:simplePos x="0" y="0"/>
                <wp:positionH relativeFrom="page">
                  <wp:align>right</wp:align>
                </wp:positionH>
                <wp:positionV relativeFrom="paragraph">
                  <wp:posOffset>-897255</wp:posOffset>
                </wp:positionV>
                <wp:extent cx="7772400" cy="11144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114425"/>
                        </a:xfrm>
                        <a:prstGeom prst="rect">
                          <a:avLst/>
                        </a:prstGeom>
                        <a:gradFill flip="none" rotWithShape="1">
                          <a:gsLst>
                            <a:gs pos="25000">
                              <a:srgbClr val="002855"/>
                            </a:gs>
                            <a:gs pos="100000">
                              <a:srgbClr val="004C97"/>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8AD5" w14:textId="77777777" w:rsidR="00021E1D" w:rsidRPr="0015143A" w:rsidRDefault="00021E1D" w:rsidP="00021E1D">
                            <w:pPr>
                              <w:ind w:left="720"/>
                              <w:rPr>
                                <w:sz w:val="44"/>
                                <w:szCs w:val="44"/>
                              </w:rPr>
                            </w:pPr>
                            <w:r>
                              <w:rPr>
                                <w:sz w:val="44"/>
                                <w:szCs w:val="44"/>
                              </w:rPr>
                              <w:t>Offering Memorandum: Footprint Asset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22D29" id="Rectangle 3" o:spid="_x0000_s1029" alt="&quot;&quot;" style="position:absolute;margin-left:560.8pt;margin-top:-70.65pt;width:612pt;height:87.75pt;z-index:-25165107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" fillcolor="#002855" stroked="f" strokeweight="1pt">
                <v:fill color2="#004c97" rotate="t" angle="135" colors="0 #002855;.25 #002855" focus="100%" type="gradient">
                  <o:fill v:ext="view" type="gradientUnscaled"/>
                </v:fill>
                <v:textbox>
                  <w:txbxContent>
                    <w:p w14:paraId="42E68AD5" w14:textId="77777777" w:rsidR="00021E1D" w:rsidRPr="0015143A" w:rsidRDefault="00021E1D" w:rsidP="00021E1D">
                      <w:pPr>
                        <w:ind w:left="720"/>
                        <w:rPr>
                          <w:sz w:val="44"/>
                          <w:szCs w:val="44"/>
                        </w:rPr>
                      </w:pPr>
                      <w:r>
                        <w:rPr>
                          <w:sz w:val="44"/>
                          <w:szCs w:val="44"/>
                        </w:rPr>
                        <w:t>Offering Memorandum: Footprint Asset Management</w:t>
                      </w:r>
                    </w:p>
                  </w:txbxContent>
                </v:textbox>
                <w10:wrap anchorx="page"/>
              </v:rect>
            </w:pict>
          </mc:Fallback>
        </mc:AlternateContent>
      </w:r>
    </w:p>
    <w:p w14:paraId="563E8AA9" w14:textId="77777777" w:rsidR="00021E1D" w:rsidRPr="00A631EF" w:rsidRDefault="00021E1D" w:rsidP="00021E1D">
      <w:pPr>
        <w:pStyle w:val="NoSpacing"/>
        <w:spacing w:after="120"/>
        <w:rPr>
          <w:b/>
          <w:bCs/>
          <w:u w:val="single"/>
        </w:rPr>
      </w:pPr>
      <w:r w:rsidRPr="00A631EF">
        <w:rPr>
          <w:b/>
          <w:bCs/>
          <w:u w:val="single"/>
        </w:rPr>
        <w:t xml:space="preserve">Company Summary </w:t>
      </w:r>
    </w:p>
    <w:p w14:paraId="15FC6FD5" w14:textId="77777777" w:rsidR="00A631EF" w:rsidRPr="00A631EF" w:rsidRDefault="00021E1D" w:rsidP="00A631EF">
      <w:pPr>
        <w:pStyle w:val="NoSpacing"/>
        <w:spacing w:after="120"/>
        <w:rPr>
          <w:b/>
          <w:bCs/>
          <w:u w:val="single"/>
        </w:rPr>
      </w:pPr>
      <w:r>
        <w:t>Footprint Asset Management is a privately held firm specializing in actively managed mutual funds with a fully integrated environmental, social, and governance (ESG) research process.  Footprint was founded in 1992 and today has 72 employees.</w:t>
      </w:r>
      <w:r>
        <w:br/>
      </w:r>
      <w:r>
        <w:br/>
      </w:r>
      <w:bookmarkStart w:id="0" w:name="_Hlk129079038"/>
      <w:r w:rsidRPr="00A631EF">
        <w:rPr>
          <w:b/>
          <w:bCs/>
          <w:u w:val="single"/>
        </w:rPr>
        <w:t>Management Discussion &amp; Analysis</w:t>
      </w:r>
    </w:p>
    <w:p w14:paraId="385A61AB" w14:textId="48972961" w:rsidR="00021E1D" w:rsidRPr="0015044E" w:rsidRDefault="00021E1D" w:rsidP="00A631EF">
      <w:pPr>
        <w:pStyle w:val="NoSpacing"/>
        <w:spacing w:after="120"/>
      </w:pPr>
      <w:r>
        <w:t>Footprint Asset Management is dedicated to investing for good. The management team believes global adoption of green fuels and modern technology will not only provide investing tail winds, but also adoption will produce better stewardship of the planet. As of late the portfolio performance has seen higher than average expense ratios. Footprint believes effective go-forward expense management and a long investor time horizon will net significant returns and benefits for ESG efforts globally.</w:t>
      </w:r>
    </w:p>
    <w:bookmarkEnd w:id="0"/>
    <w:p w14:paraId="7E61A2A7" w14:textId="77777777" w:rsidR="00021E1D" w:rsidRPr="00A631EF" w:rsidRDefault="00021E1D" w:rsidP="00021E1D">
      <w:pPr>
        <w:pStyle w:val="NoSpacing"/>
        <w:rPr>
          <w:sz w:val="16"/>
          <w:szCs w:val="16"/>
        </w:rPr>
      </w:pPr>
    </w:p>
    <w:p w14:paraId="02A9D017" w14:textId="77777777" w:rsidR="00021E1D" w:rsidRPr="00A631EF" w:rsidRDefault="00021E1D" w:rsidP="00021E1D">
      <w:pPr>
        <w:pStyle w:val="NoSpacing"/>
        <w:spacing w:after="120"/>
        <w:rPr>
          <w:b/>
          <w:bCs/>
          <w:u w:val="single"/>
        </w:rPr>
      </w:pPr>
      <w:r w:rsidRPr="00A631EF">
        <w:rPr>
          <w:b/>
          <w:bCs/>
          <w:u w:val="single"/>
        </w:rPr>
        <w:t>Product Summary</w:t>
      </w:r>
    </w:p>
    <w:p w14:paraId="47A0B9BA" w14:textId="77777777" w:rsidR="00021E1D" w:rsidRPr="0015044E" w:rsidRDefault="00021E1D" w:rsidP="00021E1D">
      <w:pPr>
        <w:pStyle w:val="NoSpacing"/>
      </w:pPr>
      <w:r>
        <w:t>Footprint offers five ESG-focused mutual funds with a combined asset value of approximately $10 billion as of 12/31/2022.  The team’s investment approach excludes all companies generating more than 5% of their revenues from sources on their restricted operations list (fossil fuels, tobacco, alcohol, firearms, gambling, and adult entertainment).  They also implement an extensive ESG analysis into their valuation process.  All investments are required to achieve thresholds for environmental, social, and governance based on an internal scoring methodology.  Ultimately, this has created a portfolio of companies with 60% less greenhouse gas emissions, 10% higher human capital development scores, and 5% more diverse board of director composition than industry peers. Footprint’s fund clients are a diverse mixture of institutional investors, retail investors, small-medium businesses, and high-net-worth individuals.</w:t>
      </w:r>
    </w:p>
    <w:p w14:paraId="7C01F753" w14:textId="77777777" w:rsidR="00021E1D" w:rsidRPr="0015044E" w:rsidRDefault="00021E1D" w:rsidP="00021E1D">
      <w:pPr>
        <w:pStyle w:val="NoSpacing"/>
      </w:pPr>
    </w:p>
    <w:tbl>
      <w:tblPr>
        <w:tblStyle w:val="TableGrid"/>
        <w:tblW w:w="9072" w:type="dxa"/>
        <w:jc w:val="center"/>
        <w:tblLook w:val="04A0" w:firstRow="1" w:lastRow="0" w:firstColumn="1" w:lastColumn="0" w:noHBand="0" w:noVBand="1"/>
      </w:tblPr>
      <w:tblGrid>
        <w:gridCol w:w="2448"/>
        <w:gridCol w:w="1296"/>
        <w:gridCol w:w="1296"/>
        <w:gridCol w:w="1008"/>
        <w:gridCol w:w="1008"/>
        <w:gridCol w:w="1008"/>
        <w:gridCol w:w="1008"/>
      </w:tblGrid>
      <w:tr w:rsidR="00021E1D" w:rsidRPr="0015044E" w14:paraId="6EDF3F19" w14:textId="77777777" w:rsidTr="002F2E6F">
        <w:trPr>
          <w:trHeight w:val="317"/>
          <w:jc w:val="center"/>
        </w:trPr>
        <w:tc>
          <w:tcPr>
            <w:tcW w:w="2448" w:type="dxa"/>
            <w:vMerge w:val="restart"/>
            <w:vAlign w:val="center"/>
          </w:tcPr>
          <w:p w14:paraId="727A2B6D" w14:textId="77777777" w:rsidR="00021E1D" w:rsidRPr="0015044E" w:rsidRDefault="00021E1D" w:rsidP="002F2E6F">
            <w:pPr>
              <w:pStyle w:val="NoSpacing"/>
              <w:rPr>
                <w:b/>
                <w:bCs/>
              </w:rPr>
            </w:pPr>
            <w:bookmarkStart w:id="1" w:name="_Hlk127881732"/>
            <w:r w:rsidRPr="0015044E">
              <w:rPr>
                <w:b/>
                <w:bCs/>
              </w:rPr>
              <w:t>Fund</w:t>
            </w:r>
          </w:p>
        </w:tc>
        <w:tc>
          <w:tcPr>
            <w:tcW w:w="1296" w:type="dxa"/>
            <w:vMerge w:val="restart"/>
            <w:vAlign w:val="center"/>
          </w:tcPr>
          <w:p w14:paraId="53E0F39A" w14:textId="77777777" w:rsidR="00021E1D" w:rsidRDefault="00021E1D" w:rsidP="002F2E6F">
            <w:pPr>
              <w:pStyle w:val="NoSpacing"/>
              <w:jc w:val="center"/>
              <w:rPr>
                <w:b/>
                <w:bCs/>
              </w:rPr>
            </w:pPr>
            <w:r w:rsidRPr="0015044E">
              <w:rPr>
                <w:b/>
                <w:bCs/>
              </w:rPr>
              <w:t>Assets</w:t>
            </w:r>
          </w:p>
          <w:p w14:paraId="77EE3049" w14:textId="77777777" w:rsidR="00021E1D" w:rsidRPr="00C6191B" w:rsidRDefault="00021E1D" w:rsidP="002F2E6F">
            <w:pPr>
              <w:pStyle w:val="NoSpacing"/>
              <w:jc w:val="center"/>
              <w:rPr>
                <w:i/>
                <w:iCs/>
              </w:rPr>
            </w:pPr>
            <w:r>
              <w:rPr>
                <w:i/>
                <w:iCs/>
              </w:rPr>
              <w:t>(</w:t>
            </w:r>
            <w:r w:rsidRPr="00C6191B">
              <w:rPr>
                <w:i/>
                <w:iCs/>
              </w:rPr>
              <w:t>12/31/22</w:t>
            </w:r>
            <w:r>
              <w:rPr>
                <w:i/>
                <w:iCs/>
              </w:rPr>
              <w:t>)</w:t>
            </w:r>
          </w:p>
        </w:tc>
        <w:tc>
          <w:tcPr>
            <w:tcW w:w="1296" w:type="dxa"/>
            <w:vMerge w:val="restart"/>
            <w:vAlign w:val="center"/>
          </w:tcPr>
          <w:p w14:paraId="07BF5C74" w14:textId="77777777" w:rsidR="00021E1D" w:rsidRPr="0015044E" w:rsidRDefault="00021E1D" w:rsidP="002F2E6F">
            <w:pPr>
              <w:pStyle w:val="NoSpacing"/>
              <w:jc w:val="center"/>
              <w:rPr>
                <w:b/>
                <w:bCs/>
              </w:rPr>
            </w:pPr>
            <w:r w:rsidRPr="0015044E">
              <w:rPr>
                <w:b/>
                <w:bCs/>
              </w:rPr>
              <w:t>Expense Ratio (%)</w:t>
            </w:r>
          </w:p>
        </w:tc>
        <w:tc>
          <w:tcPr>
            <w:tcW w:w="4032" w:type="dxa"/>
            <w:gridSpan w:val="4"/>
            <w:vAlign w:val="center"/>
          </w:tcPr>
          <w:p w14:paraId="534A9266" w14:textId="77777777" w:rsidR="00021E1D" w:rsidRPr="0015044E" w:rsidRDefault="00021E1D" w:rsidP="002F2E6F">
            <w:pPr>
              <w:pStyle w:val="NoSpacing"/>
              <w:jc w:val="center"/>
              <w:rPr>
                <w:b/>
                <w:bCs/>
              </w:rPr>
            </w:pPr>
            <w:r w:rsidRPr="0015044E">
              <w:rPr>
                <w:b/>
                <w:bCs/>
              </w:rPr>
              <w:t>Performance vs. Benchmark (%)</w:t>
            </w:r>
          </w:p>
        </w:tc>
      </w:tr>
      <w:tr w:rsidR="00021E1D" w:rsidRPr="0015044E" w14:paraId="68271978" w14:textId="77777777" w:rsidTr="002F2E6F">
        <w:trPr>
          <w:trHeight w:val="317"/>
          <w:jc w:val="center"/>
        </w:trPr>
        <w:tc>
          <w:tcPr>
            <w:tcW w:w="2448" w:type="dxa"/>
            <w:vMerge/>
            <w:vAlign w:val="center"/>
          </w:tcPr>
          <w:p w14:paraId="05849F71" w14:textId="77777777" w:rsidR="00021E1D" w:rsidRPr="0015044E" w:rsidRDefault="00021E1D" w:rsidP="002F2E6F">
            <w:pPr>
              <w:pStyle w:val="NoSpacing"/>
            </w:pPr>
          </w:p>
        </w:tc>
        <w:tc>
          <w:tcPr>
            <w:tcW w:w="1296" w:type="dxa"/>
            <w:vMerge/>
            <w:vAlign w:val="center"/>
          </w:tcPr>
          <w:p w14:paraId="4BE5612E" w14:textId="77777777" w:rsidR="00021E1D" w:rsidRPr="0015044E" w:rsidRDefault="00021E1D" w:rsidP="002F2E6F">
            <w:pPr>
              <w:pStyle w:val="NoSpacing"/>
              <w:jc w:val="center"/>
            </w:pPr>
          </w:p>
        </w:tc>
        <w:tc>
          <w:tcPr>
            <w:tcW w:w="1296" w:type="dxa"/>
            <w:vMerge/>
            <w:vAlign w:val="center"/>
          </w:tcPr>
          <w:p w14:paraId="39CE0537" w14:textId="77777777" w:rsidR="00021E1D" w:rsidRPr="0015044E" w:rsidRDefault="00021E1D" w:rsidP="002F2E6F">
            <w:pPr>
              <w:pStyle w:val="NoSpacing"/>
              <w:jc w:val="center"/>
            </w:pPr>
          </w:p>
        </w:tc>
        <w:tc>
          <w:tcPr>
            <w:tcW w:w="1008" w:type="dxa"/>
            <w:vAlign w:val="center"/>
          </w:tcPr>
          <w:p w14:paraId="2FAAF136" w14:textId="77777777" w:rsidR="00021E1D" w:rsidRPr="0015044E" w:rsidRDefault="00021E1D" w:rsidP="002F2E6F">
            <w:pPr>
              <w:pStyle w:val="NoSpacing"/>
              <w:jc w:val="center"/>
              <w:rPr>
                <w:i/>
                <w:iCs/>
              </w:rPr>
            </w:pPr>
            <w:r w:rsidRPr="0015044E">
              <w:rPr>
                <w:i/>
                <w:iCs/>
              </w:rPr>
              <w:t>1-yr</w:t>
            </w:r>
          </w:p>
        </w:tc>
        <w:tc>
          <w:tcPr>
            <w:tcW w:w="1008" w:type="dxa"/>
            <w:vAlign w:val="center"/>
          </w:tcPr>
          <w:p w14:paraId="4BF4837A" w14:textId="77777777" w:rsidR="00021E1D" w:rsidRPr="0015044E" w:rsidRDefault="00021E1D" w:rsidP="002F2E6F">
            <w:pPr>
              <w:pStyle w:val="NoSpacing"/>
              <w:jc w:val="center"/>
              <w:rPr>
                <w:i/>
                <w:iCs/>
              </w:rPr>
            </w:pPr>
            <w:r w:rsidRPr="0015044E">
              <w:rPr>
                <w:i/>
                <w:iCs/>
              </w:rPr>
              <w:t>3-yr</w:t>
            </w:r>
          </w:p>
        </w:tc>
        <w:tc>
          <w:tcPr>
            <w:tcW w:w="1008" w:type="dxa"/>
            <w:vAlign w:val="center"/>
          </w:tcPr>
          <w:p w14:paraId="7E64B782" w14:textId="77777777" w:rsidR="00021E1D" w:rsidRPr="0015044E" w:rsidRDefault="00021E1D" w:rsidP="002F2E6F">
            <w:pPr>
              <w:pStyle w:val="NoSpacing"/>
              <w:jc w:val="center"/>
              <w:rPr>
                <w:i/>
                <w:iCs/>
              </w:rPr>
            </w:pPr>
            <w:r w:rsidRPr="0015044E">
              <w:rPr>
                <w:i/>
                <w:iCs/>
              </w:rPr>
              <w:t>5-year</w:t>
            </w:r>
          </w:p>
        </w:tc>
        <w:tc>
          <w:tcPr>
            <w:tcW w:w="1008" w:type="dxa"/>
            <w:vAlign w:val="center"/>
          </w:tcPr>
          <w:p w14:paraId="78E0EE69" w14:textId="77777777" w:rsidR="00021E1D" w:rsidRPr="0015044E" w:rsidRDefault="00021E1D" w:rsidP="002F2E6F">
            <w:pPr>
              <w:pStyle w:val="NoSpacing"/>
              <w:jc w:val="center"/>
              <w:rPr>
                <w:i/>
                <w:iCs/>
              </w:rPr>
            </w:pPr>
            <w:r w:rsidRPr="0015044E">
              <w:rPr>
                <w:i/>
                <w:iCs/>
              </w:rPr>
              <w:t>10-year</w:t>
            </w:r>
          </w:p>
        </w:tc>
      </w:tr>
      <w:tr w:rsidR="00021E1D" w:rsidRPr="0015044E" w14:paraId="7BB32E83" w14:textId="77777777" w:rsidTr="002F2E6F">
        <w:trPr>
          <w:trHeight w:val="317"/>
          <w:jc w:val="center"/>
        </w:trPr>
        <w:tc>
          <w:tcPr>
            <w:tcW w:w="2448" w:type="dxa"/>
            <w:vAlign w:val="center"/>
          </w:tcPr>
          <w:p w14:paraId="3F08FD04" w14:textId="77777777" w:rsidR="00021E1D" w:rsidRPr="0015044E" w:rsidRDefault="00021E1D" w:rsidP="002F2E6F">
            <w:pPr>
              <w:pStyle w:val="NoSpacing"/>
            </w:pPr>
            <w:r>
              <w:t xml:space="preserve">Footprint </w:t>
            </w:r>
            <w:r w:rsidRPr="0015044E">
              <w:t>Growth</w:t>
            </w:r>
          </w:p>
        </w:tc>
        <w:tc>
          <w:tcPr>
            <w:tcW w:w="1296" w:type="dxa"/>
            <w:vAlign w:val="center"/>
          </w:tcPr>
          <w:p w14:paraId="56DF55EC" w14:textId="77777777" w:rsidR="00021E1D" w:rsidRPr="0015044E" w:rsidRDefault="00021E1D" w:rsidP="002F2E6F">
            <w:pPr>
              <w:pStyle w:val="NoSpacing"/>
              <w:jc w:val="center"/>
            </w:pPr>
            <w:r>
              <w:t>$4,929M</w:t>
            </w:r>
          </w:p>
        </w:tc>
        <w:tc>
          <w:tcPr>
            <w:tcW w:w="1296" w:type="dxa"/>
            <w:vAlign w:val="center"/>
          </w:tcPr>
          <w:p w14:paraId="50F025E9" w14:textId="77777777" w:rsidR="00021E1D" w:rsidRPr="0015044E" w:rsidRDefault="00021E1D" w:rsidP="002F2E6F">
            <w:pPr>
              <w:pStyle w:val="NoSpacing"/>
              <w:jc w:val="center"/>
            </w:pPr>
            <w:r w:rsidRPr="0015044E">
              <w:t>0.</w:t>
            </w:r>
            <w:r>
              <w:t>8</w:t>
            </w:r>
            <w:r w:rsidRPr="0015044E">
              <w:t>5%</w:t>
            </w:r>
          </w:p>
        </w:tc>
        <w:tc>
          <w:tcPr>
            <w:tcW w:w="1008" w:type="dxa"/>
            <w:vAlign w:val="center"/>
          </w:tcPr>
          <w:p w14:paraId="27EB3A0E" w14:textId="77777777" w:rsidR="00021E1D" w:rsidRPr="0015044E" w:rsidRDefault="00021E1D" w:rsidP="002F2E6F">
            <w:pPr>
              <w:pStyle w:val="NoSpacing"/>
              <w:jc w:val="center"/>
            </w:pPr>
            <w:r w:rsidRPr="0015044E">
              <w:t>-0.12</w:t>
            </w:r>
          </w:p>
        </w:tc>
        <w:tc>
          <w:tcPr>
            <w:tcW w:w="1008" w:type="dxa"/>
            <w:vAlign w:val="center"/>
          </w:tcPr>
          <w:p w14:paraId="061EFFD5" w14:textId="77777777" w:rsidR="00021E1D" w:rsidRPr="0015044E" w:rsidRDefault="00021E1D" w:rsidP="002F2E6F">
            <w:pPr>
              <w:pStyle w:val="NoSpacing"/>
              <w:jc w:val="center"/>
            </w:pPr>
            <w:r w:rsidRPr="0015044E">
              <w:t>+0.39</w:t>
            </w:r>
          </w:p>
        </w:tc>
        <w:tc>
          <w:tcPr>
            <w:tcW w:w="1008" w:type="dxa"/>
            <w:vAlign w:val="center"/>
          </w:tcPr>
          <w:p w14:paraId="6E495290" w14:textId="77777777" w:rsidR="00021E1D" w:rsidRPr="0015044E" w:rsidRDefault="00021E1D" w:rsidP="002F2E6F">
            <w:pPr>
              <w:pStyle w:val="NoSpacing"/>
              <w:jc w:val="center"/>
            </w:pPr>
            <w:r w:rsidRPr="0015044E">
              <w:t>+0.80</w:t>
            </w:r>
          </w:p>
        </w:tc>
        <w:tc>
          <w:tcPr>
            <w:tcW w:w="1008" w:type="dxa"/>
            <w:vAlign w:val="center"/>
          </w:tcPr>
          <w:p w14:paraId="0DF14365" w14:textId="77777777" w:rsidR="00021E1D" w:rsidRPr="0015044E" w:rsidRDefault="00021E1D" w:rsidP="002F2E6F">
            <w:pPr>
              <w:pStyle w:val="NoSpacing"/>
              <w:jc w:val="center"/>
            </w:pPr>
            <w:r w:rsidRPr="0015044E">
              <w:t>+0.73</w:t>
            </w:r>
          </w:p>
        </w:tc>
      </w:tr>
      <w:tr w:rsidR="00021E1D" w:rsidRPr="0015044E" w14:paraId="07519CD5" w14:textId="77777777" w:rsidTr="002F2E6F">
        <w:trPr>
          <w:trHeight w:val="317"/>
          <w:jc w:val="center"/>
        </w:trPr>
        <w:tc>
          <w:tcPr>
            <w:tcW w:w="2448" w:type="dxa"/>
            <w:vAlign w:val="center"/>
          </w:tcPr>
          <w:p w14:paraId="240C59F8" w14:textId="77777777" w:rsidR="00021E1D" w:rsidRPr="0015044E" w:rsidRDefault="00021E1D" w:rsidP="002F2E6F">
            <w:pPr>
              <w:pStyle w:val="NoSpacing"/>
            </w:pPr>
            <w:r>
              <w:t xml:space="preserve">Footprint </w:t>
            </w:r>
            <w:r w:rsidRPr="0015044E">
              <w:t>Value</w:t>
            </w:r>
          </w:p>
        </w:tc>
        <w:tc>
          <w:tcPr>
            <w:tcW w:w="1296" w:type="dxa"/>
            <w:vAlign w:val="center"/>
          </w:tcPr>
          <w:p w14:paraId="08E434AC" w14:textId="77777777" w:rsidR="00021E1D" w:rsidRPr="0015044E" w:rsidRDefault="00021E1D" w:rsidP="002F2E6F">
            <w:pPr>
              <w:pStyle w:val="NoSpacing"/>
              <w:jc w:val="center"/>
            </w:pPr>
            <w:r>
              <w:t>$1,351M</w:t>
            </w:r>
          </w:p>
        </w:tc>
        <w:tc>
          <w:tcPr>
            <w:tcW w:w="1296" w:type="dxa"/>
            <w:vAlign w:val="center"/>
          </w:tcPr>
          <w:p w14:paraId="35C55917" w14:textId="77777777" w:rsidR="00021E1D" w:rsidRPr="0015044E" w:rsidRDefault="00021E1D" w:rsidP="002F2E6F">
            <w:pPr>
              <w:pStyle w:val="NoSpacing"/>
              <w:jc w:val="center"/>
            </w:pPr>
            <w:r w:rsidRPr="0015044E">
              <w:t>0.</w:t>
            </w:r>
            <w:r>
              <w:t>9</w:t>
            </w:r>
            <w:r w:rsidRPr="0015044E">
              <w:t>0%</w:t>
            </w:r>
          </w:p>
        </w:tc>
        <w:tc>
          <w:tcPr>
            <w:tcW w:w="1008" w:type="dxa"/>
            <w:vAlign w:val="center"/>
          </w:tcPr>
          <w:p w14:paraId="6EF7A071" w14:textId="77777777" w:rsidR="00021E1D" w:rsidRPr="0015044E" w:rsidRDefault="00021E1D" w:rsidP="002F2E6F">
            <w:pPr>
              <w:pStyle w:val="NoSpacing"/>
              <w:jc w:val="center"/>
            </w:pPr>
            <w:r w:rsidRPr="0015044E">
              <w:t>-3.29</w:t>
            </w:r>
          </w:p>
        </w:tc>
        <w:tc>
          <w:tcPr>
            <w:tcW w:w="1008" w:type="dxa"/>
            <w:vAlign w:val="center"/>
          </w:tcPr>
          <w:p w14:paraId="2CD30E21" w14:textId="77777777" w:rsidR="00021E1D" w:rsidRPr="0015044E" w:rsidRDefault="00021E1D" w:rsidP="002F2E6F">
            <w:pPr>
              <w:pStyle w:val="NoSpacing"/>
              <w:jc w:val="center"/>
            </w:pPr>
            <w:r w:rsidRPr="0015044E">
              <w:t>+4.81</w:t>
            </w:r>
          </w:p>
        </w:tc>
        <w:tc>
          <w:tcPr>
            <w:tcW w:w="1008" w:type="dxa"/>
            <w:vAlign w:val="center"/>
          </w:tcPr>
          <w:p w14:paraId="37D1E43A" w14:textId="77777777" w:rsidR="00021E1D" w:rsidRPr="0015044E" w:rsidRDefault="00021E1D" w:rsidP="002F2E6F">
            <w:pPr>
              <w:pStyle w:val="NoSpacing"/>
              <w:jc w:val="center"/>
            </w:pPr>
            <w:r w:rsidRPr="0015044E">
              <w:t>+3.09</w:t>
            </w:r>
          </w:p>
        </w:tc>
        <w:tc>
          <w:tcPr>
            <w:tcW w:w="1008" w:type="dxa"/>
            <w:vAlign w:val="center"/>
          </w:tcPr>
          <w:p w14:paraId="0A2D4F8D" w14:textId="77777777" w:rsidR="00021E1D" w:rsidRPr="0015044E" w:rsidRDefault="00021E1D" w:rsidP="002F2E6F">
            <w:pPr>
              <w:pStyle w:val="NoSpacing"/>
              <w:jc w:val="center"/>
            </w:pPr>
            <w:r w:rsidRPr="0015044E">
              <w:t>+</w:t>
            </w:r>
            <w:r>
              <w:t>2</w:t>
            </w:r>
            <w:r w:rsidRPr="0015044E">
              <w:t>.47</w:t>
            </w:r>
          </w:p>
        </w:tc>
      </w:tr>
      <w:tr w:rsidR="00021E1D" w:rsidRPr="0015044E" w14:paraId="10A4D599" w14:textId="77777777" w:rsidTr="002F2E6F">
        <w:trPr>
          <w:trHeight w:val="317"/>
          <w:jc w:val="center"/>
        </w:trPr>
        <w:tc>
          <w:tcPr>
            <w:tcW w:w="2448" w:type="dxa"/>
            <w:vAlign w:val="center"/>
          </w:tcPr>
          <w:p w14:paraId="60FA4B3A" w14:textId="77777777" w:rsidR="00021E1D" w:rsidRPr="0015044E" w:rsidRDefault="00021E1D" w:rsidP="002F2E6F">
            <w:pPr>
              <w:pStyle w:val="NoSpacing"/>
            </w:pPr>
            <w:r>
              <w:t xml:space="preserve">Footprint </w:t>
            </w:r>
            <w:r w:rsidRPr="0015044E">
              <w:t>Mid</w:t>
            </w:r>
            <w:r>
              <w:t xml:space="preserve"> </w:t>
            </w:r>
            <w:r w:rsidRPr="0015044E">
              <w:t>Cap</w:t>
            </w:r>
          </w:p>
        </w:tc>
        <w:tc>
          <w:tcPr>
            <w:tcW w:w="1296" w:type="dxa"/>
            <w:vAlign w:val="center"/>
          </w:tcPr>
          <w:p w14:paraId="7D24E495" w14:textId="77777777" w:rsidR="00021E1D" w:rsidRPr="0015044E" w:rsidRDefault="00021E1D" w:rsidP="002F2E6F">
            <w:pPr>
              <w:pStyle w:val="NoSpacing"/>
              <w:jc w:val="center"/>
            </w:pPr>
            <w:r>
              <w:t>$2,453M</w:t>
            </w:r>
          </w:p>
        </w:tc>
        <w:tc>
          <w:tcPr>
            <w:tcW w:w="1296" w:type="dxa"/>
            <w:vAlign w:val="center"/>
          </w:tcPr>
          <w:p w14:paraId="0B621348" w14:textId="77777777" w:rsidR="00021E1D" w:rsidRPr="0015044E" w:rsidRDefault="00021E1D" w:rsidP="002F2E6F">
            <w:pPr>
              <w:pStyle w:val="NoSpacing"/>
              <w:jc w:val="center"/>
            </w:pPr>
            <w:r w:rsidRPr="0015044E">
              <w:t>0.9</w:t>
            </w:r>
            <w:r>
              <w:t>5</w:t>
            </w:r>
            <w:r w:rsidRPr="0015044E">
              <w:t>%</w:t>
            </w:r>
          </w:p>
        </w:tc>
        <w:tc>
          <w:tcPr>
            <w:tcW w:w="1008" w:type="dxa"/>
            <w:vAlign w:val="center"/>
          </w:tcPr>
          <w:p w14:paraId="4C8A5B0A" w14:textId="77777777" w:rsidR="00021E1D" w:rsidRPr="0015044E" w:rsidRDefault="00021E1D" w:rsidP="002F2E6F">
            <w:pPr>
              <w:pStyle w:val="NoSpacing"/>
              <w:jc w:val="center"/>
            </w:pPr>
            <w:r w:rsidRPr="0015044E">
              <w:t>-2.56</w:t>
            </w:r>
          </w:p>
        </w:tc>
        <w:tc>
          <w:tcPr>
            <w:tcW w:w="1008" w:type="dxa"/>
            <w:vAlign w:val="center"/>
          </w:tcPr>
          <w:p w14:paraId="72D37D13" w14:textId="77777777" w:rsidR="00021E1D" w:rsidRPr="0015044E" w:rsidRDefault="00021E1D" w:rsidP="002F2E6F">
            <w:pPr>
              <w:pStyle w:val="NoSpacing"/>
              <w:jc w:val="center"/>
            </w:pPr>
            <w:r w:rsidRPr="0015044E">
              <w:t>-1.39</w:t>
            </w:r>
          </w:p>
        </w:tc>
        <w:tc>
          <w:tcPr>
            <w:tcW w:w="1008" w:type="dxa"/>
            <w:vAlign w:val="center"/>
          </w:tcPr>
          <w:p w14:paraId="36723811" w14:textId="77777777" w:rsidR="00021E1D" w:rsidRPr="0015044E" w:rsidRDefault="00021E1D" w:rsidP="002F2E6F">
            <w:pPr>
              <w:pStyle w:val="NoSpacing"/>
              <w:jc w:val="center"/>
            </w:pPr>
            <w:r w:rsidRPr="0015044E">
              <w:t>-2.27</w:t>
            </w:r>
          </w:p>
        </w:tc>
        <w:tc>
          <w:tcPr>
            <w:tcW w:w="1008" w:type="dxa"/>
            <w:vAlign w:val="center"/>
          </w:tcPr>
          <w:p w14:paraId="56DDA8E2" w14:textId="77777777" w:rsidR="00021E1D" w:rsidRPr="0015044E" w:rsidRDefault="00021E1D" w:rsidP="002F2E6F">
            <w:pPr>
              <w:pStyle w:val="NoSpacing"/>
              <w:jc w:val="center"/>
            </w:pPr>
            <w:r w:rsidRPr="0015044E">
              <w:t>-0.23</w:t>
            </w:r>
          </w:p>
        </w:tc>
      </w:tr>
      <w:tr w:rsidR="00021E1D" w:rsidRPr="0015044E" w14:paraId="58E415EE" w14:textId="77777777" w:rsidTr="002F2E6F">
        <w:trPr>
          <w:trHeight w:val="317"/>
          <w:jc w:val="center"/>
        </w:trPr>
        <w:tc>
          <w:tcPr>
            <w:tcW w:w="2448" w:type="dxa"/>
            <w:vAlign w:val="center"/>
          </w:tcPr>
          <w:p w14:paraId="1EA30CDA" w14:textId="77777777" w:rsidR="00021E1D" w:rsidRPr="0015044E" w:rsidRDefault="00021E1D" w:rsidP="002F2E6F">
            <w:pPr>
              <w:pStyle w:val="NoSpacing"/>
            </w:pPr>
            <w:r>
              <w:t xml:space="preserve">Footprint </w:t>
            </w:r>
            <w:r w:rsidRPr="0015044E">
              <w:t>Fixed</w:t>
            </w:r>
          </w:p>
        </w:tc>
        <w:tc>
          <w:tcPr>
            <w:tcW w:w="1296" w:type="dxa"/>
            <w:vAlign w:val="center"/>
          </w:tcPr>
          <w:p w14:paraId="7030B87F" w14:textId="77777777" w:rsidR="00021E1D" w:rsidRPr="0015044E" w:rsidRDefault="00021E1D" w:rsidP="002F2E6F">
            <w:pPr>
              <w:pStyle w:val="NoSpacing"/>
              <w:jc w:val="center"/>
            </w:pPr>
            <w:r>
              <w:t>$1,078M</w:t>
            </w:r>
          </w:p>
        </w:tc>
        <w:tc>
          <w:tcPr>
            <w:tcW w:w="1296" w:type="dxa"/>
            <w:vAlign w:val="center"/>
          </w:tcPr>
          <w:p w14:paraId="1822CDE9" w14:textId="77777777" w:rsidR="00021E1D" w:rsidRPr="0015044E" w:rsidRDefault="00021E1D" w:rsidP="002F2E6F">
            <w:pPr>
              <w:pStyle w:val="NoSpacing"/>
              <w:jc w:val="center"/>
            </w:pPr>
            <w:r w:rsidRPr="0015044E">
              <w:t>0.</w:t>
            </w:r>
            <w:r>
              <w:t>7</w:t>
            </w:r>
            <w:r w:rsidRPr="0015044E">
              <w:t>5%</w:t>
            </w:r>
          </w:p>
        </w:tc>
        <w:tc>
          <w:tcPr>
            <w:tcW w:w="1008" w:type="dxa"/>
            <w:vAlign w:val="center"/>
          </w:tcPr>
          <w:p w14:paraId="0A421B2C" w14:textId="77777777" w:rsidR="00021E1D" w:rsidRPr="0015044E" w:rsidRDefault="00021E1D" w:rsidP="002F2E6F">
            <w:pPr>
              <w:pStyle w:val="NoSpacing"/>
              <w:jc w:val="center"/>
            </w:pPr>
            <w:r w:rsidRPr="0015044E">
              <w:t>-1.07</w:t>
            </w:r>
          </w:p>
        </w:tc>
        <w:tc>
          <w:tcPr>
            <w:tcW w:w="1008" w:type="dxa"/>
            <w:vAlign w:val="center"/>
          </w:tcPr>
          <w:p w14:paraId="25190AF4" w14:textId="77777777" w:rsidR="00021E1D" w:rsidRPr="0015044E" w:rsidRDefault="00021E1D" w:rsidP="002F2E6F">
            <w:pPr>
              <w:pStyle w:val="NoSpacing"/>
              <w:jc w:val="center"/>
            </w:pPr>
            <w:r w:rsidRPr="0015044E">
              <w:t>-0.44</w:t>
            </w:r>
          </w:p>
        </w:tc>
        <w:tc>
          <w:tcPr>
            <w:tcW w:w="1008" w:type="dxa"/>
            <w:vAlign w:val="center"/>
          </w:tcPr>
          <w:p w14:paraId="4CC5ED4F" w14:textId="77777777" w:rsidR="00021E1D" w:rsidRPr="0015044E" w:rsidRDefault="00021E1D" w:rsidP="002F2E6F">
            <w:pPr>
              <w:pStyle w:val="NoSpacing"/>
              <w:jc w:val="center"/>
            </w:pPr>
            <w:r w:rsidRPr="0015044E">
              <w:t>-0.19</w:t>
            </w:r>
          </w:p>
        </w:tc>
        <w:tc>
          <w:tcPr>
            <w:tcW w:w="1008" w:type="dxa"/>
            <w:vAlign w:val="center"/>
          </w:tcPr>
          <w:p w14:paraId="602DD227" w14:textId="77777777" w:rsidR="00021E1D" w:rsidRPr="0015044E" w:rsidRDefault="00021E1D" w:rsidP="002F2E6F">
            <w:pPr>
              <w:pStyle w:val="NoSpacing"/>
              <w:jc w:val="center"/>
            </w:pPr>
            <w:r w:rsidRPr="0015044E">
              <w:t>-0.30</w:t>
            </w:r>
          </w:p>
        </w:tc>
      </w:tr>
      <w:tr w:rsidR="00021E1D" w:rsidRPr="0015044E" w14:paraId="7D9AD801" w14:textId="77777777" w:rsidTr="002F2E6F">
        <w:trPr>
          <w:trHeight w:val="317"/>
          <w:jc w:val="center"/>
        </w:trPr>
        <w:tc>
          <w:tcPr>
            <w:tcW w:w="2448" w:type="dxa"/>
            <w:vAlign w:val="center"/>
          </w:tcPr>
          <w:p w14:paraId="412A3DA7" w14:textId="77777777" w:rsidR="00021E1D" w:rsidRPr="0015044E" w:rsidRDefault="00021E1D" w:rsidP="002F2E6F">
            <w:pPr>
              <w:pStyle w:val="NoSpacing"/>
            </w:pPr>
            <w:r>
              <w:t xml:space="preserve">Footprint </w:t>
            </w:r>
            <w:r w:rsidRPr="0015044E">
              <w:t>Real Estate</w:t>
            </w:r>
          </w:p>
        </w:tc>
        <w:tc>
          <w:tcPr>
            <w:tcW w:w="1296" w:type="dxa"/>
            <w:vAlign w:val="center"/>
          </w:tcPr>
          <w:p w14:paraId="0C8C029E" w14:textId="77777777" w:rsidR="00021E1D" w:rsidRPr="0015044E" w:rsidRDefault="00021E1D" w:rsidP="002F2E6F">
            <w:pPr>
              <w:pStyle w:val="NoSpacing"/>
              <w:jc w:val="center"/>
            </w:pPr>
            <w:r>
              <w:t>$295M</w:t>
            </w:r>
          </w:p>
        </w:tc>
        <w:tc>
          <w:tcPr>
            <w:tcW w:w="1296" w:type="dxa"/>
            <w:vAlign w:val="center"/>
          </w:tcPr>
          <w:p w14:paraId="724D1DCB" w14:textId="77777777" w:rsidR="00021E1D" w:rsidRPr="0015044E" w:rsidRDefault="00021E1D" w:rsidP="002F2E6F">
            <w:pPr>
              <w:pStyle w:val="NoSpacing"/>
              <w:jc w:val="center"/>
            </w:pPr>
            <w:r w:rsidRPr="0015044E">
              <w:t>1.</w:t>
            </w:r>
            <w:r>
              <w:t>35</w:t>
            </w:r>
            <w:r w:rsidRPr="0015044E">
              <w:t>%</w:t>
            </w:r>
          </w:p>
        </w:tc>
        <w:tc>
          <w:tcPr>
            <w:tcW w:w="1008" w:type="dxa"/>
            <w:vAlign w:val="center"/>
          </w:tcPr>
          <w:p w14:paraId="137CF002" w14:textId="77777777" w:rsidR="00021E1D" w:rsidRPr="0015044E" w:rsidRDefault="00021E1D" w:rsidP="002F2E6F">
            <w:pPr>
              <w:pStyle w:val="NoSpacing"/>
              <w:jc w:val="center"/>
            </w:pPr>
            <w:r w:rsidRPr="0015044E">
              <w:t>-0.55</w:t>
            </w:r>
          </w:p>
        </w:tc>
        <w:tc>
          <w:tcPr>
            <w:tcW w:w="1008" w:type="dxa"/>
            <w:vAlign w:val="center"/>
          </w:tcPr>
          <w:p w14:paraId="3B10288F" w14:textId="77777777" w:rsidR="00021E1D" w:rsidRPr="0015044E" w:rsidRDefault="00021E1D" w:rsidP="002F2E6F">
            <w:pPr>
              <w:pStyle w:val="NoSpacing"/>
              <w:jc w:val="center"/>
            </w:pPr>
            <w:r w:rsidRPr="0015044E">
              <w:t>+0.17</w:t>
            </w:r>
          </w:p>
        </w:tc>
        <w:tc>
          <w:tcPr>
            <w:tcW w:w="1008" w:type="dxa"/>
            <w:vAlign w:val="center"/>
          </w:tcPr>
          <w:p w14:paraId="75F0D9C0" w14:textId="77777777" w:rsidR="00021E1D" w:rsidRPr="0015044E" w:rsidRDefault="00021E1D" w:rsidP="002F2E6F">
            <w:pPr>
              <w:pStyle w:val="NoSpacing"/>
              <w:jc w:val="center"/>
            </w:pPr>
            <w:r w:rsidRPr="0015044E">
              <w:t>+0.62</w:t>
            </w:r>
          </w:p>
        </w:tc>
        <w:tc>
          <w:tcPr>
            <w:tcW w:w="1008" w:type="dxa"/>
            <w:vAlign w:val="center"/>
          </w:tcPr>
          <w:p w14:paraId="33DE98DB" w14:textId="77777777" w:rsidR="00021E1D" w:rsidRPr="0015044E" w:rsidRDefault="00021E1D" w:rsidP="002F2E6F">
            <w:pPr>
              <w:pStyle w:val="NoSpacing"/>
              <w:jc w:val="center"/>
            </w:pPr>
            <w:r w:rsidRPr="0015044E">
              <w:t>+0.80</w:t>
            </w:r>
          </w:p>
        </w:tc>
      </w:tr>
      <w:bookmarkEnd w:id="1"/>
    </w:tbl>
    <w:p w14:paraId="385DA563" w14:textId="77777777" w:rsidR="00021E1D" w:rsidRPr="0015044E" w:rsidRDefault="00021E1D" w:rsidP="00021E1D">
      <w:pPr>
        <w:pStyle w:val="NoSpacing"/>
      </w:pPr>
    </w:p>
    <w:p w14:paraId="7B9E86BA" w14:textId="77777777" w:rsidR="00021E1D" w:rsidRPr="00A631EF" w:rsidRDefault="00021E1D" w:rsidP="00021E1D">
      <w:pPr>
        <w:pStyle w:val="NoSpacing"/>
        <w:spacing w:after="120"/>
        <w:rPr>
          <w:b/>
          <w:bCs/>
          <w:u w:val="single"/>
        </w:rPr>
      </w:pPr>
      <w:r w:rsidRPr="00A631EF">
        <w:rPr>
          <w:b/>
          <w:bCs/>
          <w:u w:val="single"/>
        </w:rPr>
        <w:t>Risk Factors</w:t>
      </w:r>
    </w:p>
    <w:p w14:paraId="0BA37D84" w14:textId="77777777" w:rsidR="00021E1D" w:rsidRPr="0015143A" w:rsidRDefault="00021E1D" w:rsidP="00021E1D">
      <w:pPr>
        <w:pStyle w:val="NoSpacing"/>
      </w:pPr>
      <w:r>
        <w:t>While Footprint has a solid track record of performance, they recently lost multiple platform positions that represented a material share of their distribution.  The platforms cited an above-market expense structure in their decisions.  Thus, after accumulating strong net deposits in 2017-2021, Footprint experienced net outflows of over $700 million during 2022.</w:t>
      </w:r>
    </w:p>
    <w:p w14:paraId="1A12F2D1" w14:textId="77777777" w:rsidR="00021E1D" w:rsidRDefault="00021E1D" w:rsidP="00021E1D">
      <w:pPr>
        <w:pStyle w:val="NoSpacing"/>
        <w:rPr>
          <w:u w:val="single"/>
        </w:rPr>
      </w:pPr>
    </w:p>
    <w:p w14:paraId="0A308840" w14:textId="6A1B50C4" w:rsidR="00021E1D" w:rsidRPr="00A631EF" w:rsidRDefault="00021E1D" w:rsidP="00A631EF">
      <w:pPr>
        <w:pStyle w:val="NoSpacing"/>
        <w:spacing w:after="120"/>
        <w:rPr>
          <w:b/>
          <w:bCs/>
          <w:u w:val="single"/>
        </w:rPr>
      </w:pPr>
      <w:r w:rsidRPr="00A631EF">
        <w:rPr>
          <w:b/>
          <w:bCs/>
          <w:u w:val="single"/>
        </w:rPr>
        <w:t>Acquisition Summary</w:t>
      </w:r>
      <w:bookmarkStart w:id="2" w:name="_Hlk127882043"/>
    </w:p>
    <w:p w14:paraId="02E7C8AF" w14:textId="77777777" w:rsidR="00021E1D" w:rsidRPr="00634F02" w:rsidRDefault="00021E1D" w:rsidP="00021E1D">
      <w:pPr>
        <w:pStyle w:val="NoSpacing"/>
        <w:numPr>
          <w:ilvl w:val="0"/>
          <w:numId w:val="2"/>
        </w:numPr>
      </w:pPr>
      <w:r w:rsidRPr="00634F02">
        <w:t>Minimum Bid Accepted: $</w:t>
      </w:r>
      <w:r>
        <w:t>337</w:t>
      </w:r>
      <w:r w:rsidRPr="00634F02">
        <w:t>M USD</w:t>
      </w:r>
    </w:p>
    <w:p w14:paraId="110A955A" w14:textId="77777777" w:rsidR="00021E1D" w:rsidRPr="00634F02" w:rsidRDefault="00021E1D" w:rsidP="00021E1D">
      <w:pPr>
        <w:pStyle w:val="NoSpacing"/>
        <w:numPr>
          <w:ilvl w:val="0"/>
          <w:numId w:val="2"/>
        </w:numPr>
      </w:pPr>
      <w:r w:rsidRPr="00634F02">
        <w:t>Synergies Assumed:</w:t>
      </w:r>
    </w:p>
    <w:p w14:paraId="5E1064E1" w14:textId="77777777" w:rsidR="00021E1D" w:rsidRPr="00A0067B" w:rsidRDefault="00021E1D" w:rsidP="00021E1D">
      <w:pPr>
        <w:pStyle w:val="NoSpacing"/>
        <w:numPr>
          <w:ilvl w:val="1"/>
          <w:numId w:val="2"/>
        </w:numPr>
      </w:pPr>
      <w:r>
        <w:t>10% Compensation Synergy</w:t>
      </w:r>
    </w:p>
    <w:p w14:paraId="35FAEBA6" w14:textId="77777777" w:rsidR="00021E1D" w:rsidRDefault="00021E1D" w:rsidP="00021E1D">
      <w:pPr>
        <w:pStyle w:val="NoSpacing"/>
        <w:numPr>
          <w:ilvl w:val="1"/>
          <w:numId w:val="2"/>
        </w:numPr>
      </w:pPr>
      <w:r>
        <w:t>30% General and Administrative Synergy</w:t>
      </w:r>
    </w:p>
    <w:p w14:paraId="762F05F6" w14:textId="77777777" w:rsidR="00021E1D" w:rsidRDefault="00021E1D" w:rsidP="00021E1D">
      <w:pPr>
        <w:pStyle w:val="NoSpacing"/>
        <w:numPr>
          <w:ilvl w:val="1"/>
          <w:numId w:val="2"/>
        </w:numPr>
      </w:pPr>
      <w:r>
        <w:lastRenderedPageBreak/>
        <w:t>75% capture of expected synergy benefits</w:t>
      </w:r>
    </w:p>
    <w:p w14:paraId="05049339" w14:textId="77777777" w:rsidR="00021E1D" w:rsidRPr="00DC1D91" w:rsidRDefault="00021E1D" w:rsidP="00021E1D">
      <w:pPr>
        <w:pStyle w:val="NoSpacing"/>
        <w:numPr>
          <w:ilvl w:val="1"/>
          <w:numId w:val="2"/>
        </w:numPr>
      </w:pPr>
      <w:r>
        <w:t>5% Shock Lapse to Management and Advisory Fees upon announcement of deal (Negative Synergy)</w:t>
      </w:r>
    </w:p>
    <w:bookmarkEnd w:id="2"/>
    <w:p w14:paraId="1B90B811" w14:textId="77777777" w:rsidR="00021E1D" w:rsidRPr="004D72BF" w:rsidRDefault="00021E1D" w:rsidP="00021E1D">
      <w:pPr>
        <w:pStyle w:val="NoSpacing"/>
        <w:ind w:left="1440"/>
      </w:pPr>
    </w:p>
    <w:p w14:paraId="60B7A0DE" w14:textId="77777777" w:rsidR="00D90CC1" w:rsidRDefault="00D90CC1" w:rsidP="00A05620">
      <w:pPr>
        <w:pStyle w:val="NoSpacing"/>
        <w:rPr>
          <w:u w:val="single"/>
        </w:rPr>
      </w:pPr>
    </w:p>
    <w:sectPr w:rsidR="00D90CC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96E0" w14:textId="77777777" w:rsidR="005250DB" w:rsidRDefault="005250DB" w:rsidP="0011684D">
      <w:pPr>
        <w:spacing w:after="0" w:line="240" w:lineRule="auto"/>
      </w:pPr>
      <w:r>
        <w:separator/>
      </w:r>
    </w:p>
  </w:endnote>
  <w:endnote w:type="continuationSeparator" w:id="0">
    <w:p w14:paraId="1EBB9ACA" w14:textId="77777777" w:rsidR="005250DB" w:rsidRDefault="005250DB" w:rsidP="001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A540" w14:textId="77777777" w:rsidR="00F434AA" w:rsidRDefault="00F4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4AD" w14:textId="49A39771" w:rsidR="003A46D4" w:rsidRDefault="00F434AA">
    <w:pPr>
      <w:pStyle w:val="Footer"/>
      <w:rPr>
        <w:sz w:val="18"/>
      </w:rPr>
    </w:pPr>
    <w:r>
      <w:rPr>
        <w:noProof/>
        <w:sz w:val="18"/>
      </w:rPr>
      <mc:AlternateContent>
        <mc:Choice Requires="wps">
          <w:drawing>
            <wp:anchor distT="0" distB="0" distL="114300" distR="114300" simplePos="0" relativeHeight="251659264" behindDoc="0" locked="0" layoutInCell="0" allowOverlap="1" wp14:anchorId="23F5A996" wp14:editId="08C28B96">
              <wp:simplePos x="0" y="0"/>
              <wp:positionH relativeFrom="page">
                <wp:posOffset>0</wp:posOffset>
              </wp:positionH>
              <wp:positionV relativeFrom="page">
                <wp:posOffset>9594850</wp:posOffset>
              </wp:positionV>
              <wp:extent cx="7772400" cy="272415"/>
              <wp:effectExtent l="0" t="0" r="0" b="13335"/>
              <wp:wrapNone/>
              <wp:docPr id="4" name="MSIPCM1f56404fb34e67632a67948c" descr="{&quot;HashCode&quot;:-3053973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2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FC7E3" w14:textId="7136537D" w:rsidR="00F434AA" w:rsidRPr="00F434AA" w:rsidRDefault="00F434AA" w:rsidP="00F434AA">
                          <w:pPr>
                            <w:spacing w:after="0"/>
                            <w:rPr>
                              <w:rFonts w:ascii="FS Elliot Pro" w:hAnsi="FS Elliot Pro"/>
                              <w:color w:val="737373"/>
                              <w:sz w:val="18"/>
                            </w:rPr>
                          </w:pPr>
                          <w:r w:rsidRPr="00F434AA">
                            <w:rPr>
                              <w:rFonts w:ascii="FS Elliot Pro" w:hAnsi="FS Elliot Pro"/>
                              <w:color w:val="737373"/>
                              <w:sz w:val="18"/>
                            </w:rPr>
                            <w:t>Classification: 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F5A996" id="_x0000_t202" coordsize="21600,21600" o:spt="202" path="m,l,21600r21600,l21600,xe">
              <v:stroke joinstyle="miter"/>
              <v:path gradientshapeok="t" o:connecttype="rect"/>
            </v:shapetype>
            <v:shape id="MSIPCM1f56404fb34e67632a67948c" o:spid="_x0000_s1030" type="#_x0000_t202" alt="{&quot;HashCode&quot;:-305397311,&quot;Height&quot;:792.0,&quot;Width&quot;:612.0,&quot;Placement&quot;:&quot;Footer&quot;,&quot;Index&quot;:&quot;Primary&quot;,&quot;Section&quot;:1,&quot;Top&quot;:0.0,&quot;Left&quot;:0.0}" style="position:absolute;margin-left:0;margin-top:755.5pt;width:612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" o:allowincell="f" filled="f" stroked="f" strokeweight=".5pt">
              <v:textbox inset="20pt,0,,0">
                <w:txbxContent>
                  <w:p w14:paraId="170FC7E3" w14:textId="7136537D" w:rsidR="00F434AA" w:rsidRPr="00F434AA" w:rsidRDefault="00F434AA" w:rsidP="00F434AA">
                    <w:pPr>
                      <w:spacing w:after="0"/>
                      <w:rPr>
                        <w:rFonts w:ascii="FS Elliot Pro" w:hAnsi="FS Elliot Pro"/>
                        <w:color w:val="737373"/>
                        <w:sz w:val="18"/>
                      </w:rPr>
                    </w:pPr>
                    <w:r w:rsidRPr="00F434AA">
                      <w:rPr>
                        <w:rFonts w:ascii="FS Elliot Pro" w:hAnsi="FS Elliot Pro"/>
                        <w:color w:val="737373"/>
                        <w:sz w:val="18"/>
                      </w:rPr>
                      <w:t>Classification: Internal Use</w:t>
                    </w:r>
                  </w:p>
                </w:txbxContent>
              </v:textbox>
              <w10:wrap anchorx="page" anchory="page"/>
            </v:shape>
          </w:pict>
        </mc:Fallback>
      </mc:AlternateContent>
    </w:r>
  </w:p>
  <w:p w14:paraId="7A8FA7F0" w14:textId="77777777" w:rsidR="005744C9" w:rsidRPr="00B43312" w:rsidRDefault="005744C9">
    <w:pPr>
      <w:pStyle w:val="Footer"/>
      <w:rPr>
        <w:sz w:val="18"/>
      </w:rPr>
    </w:pPr>
  </w:p>
  <w:p w14:paraId="4951D1FB" w14:textId="77777777" w:rsidR="00404061" w:rsidRDefault="0040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5039" w14:textId="77777777" w:rsidR="00F434AA" w:rsidRDefault="00F4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8A82" w14:textId="77777777" w:rsidR="005250DB" w:rsidRDefault="005250DB" w:rsidP="0011684D">
      <w:pPr>
        <w:spacing w:after="0" w:line="240" w:lineRule="auto"/>
      </w:pPr>
      <w:r>
        <w:separator/>
      </w:r>
    </w:p>
  </w:footnote>
  <w:footnote w:type="continuationSeparator" w:id="0">
    <w:p w14:paraId="05175780" w14:textId="77777777" w:rsidR="005250DB" w:rsidRDefault="005250DB" w:rsidP="001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0675" w14:textId="77777777" w:rsidR="00F434AA" w:rsidRDefault="00F43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3C1E" w14:textId="77777777" w:rsidR="00F434AA" w:rsidRDefault="00F43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3B42" w14:textId="77777777" w:rsidR="00F434AA" w:rsidRDefault="00F4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5CF8"/>
    <w:multiLevelType w:val="hybridMultilevel"/>
    <w:tmpl w:val="4C107A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763FE"/>
    <w:multiLevelType w:val="multilevel"/>
    <w:tmpl w:val="AA5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8128F"/>
    <w:multiLevelType w:val="hybridMultilevel"/>
    <w:tmpl w:val="6F9646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E7CF2"/>
    <w:multiLevelType w:val="hybridMultilevel"/>
    <w:tmpl w:val="671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57009"/>
    <w:multiLevelType w:val="hybridMultilevel"/>
    <w:tmpl w:val="8FBA6E88"/>
    <w:lvl w:ilvl="0" w:tplc="E0FE0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56AA5"/>
    <w:multiLevelType w:val="hybridMultilevel"/>
    <w:tmpl w:val="2E560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FF1A4F"/>
    <w:multiLevelType w:val="hybridMultilevel"/>
    <w:tmpl w:val="FD7E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3437D"/>
    <w:multiLevelType w:val="hybridMultilevel"/>
    <w:tmpl w:val="EF1233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1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25D249D"/>
    <w:multiLevelType w:val="hybridMultilevel"/>
    <w:tmpl w:val="960A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02D05"/>
    <w:multiLevelType w:val="hybridMultilevel"/>
    <w:tmpl w:val="B0B6C0E6"/>
    <w:lvl w:ilvl="0" w:tplc="E0FE0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D1253"/>
    <w:multiLevelType w:val="hybridMultilevel"/>
    <w:tmpl w:val="55F4EC3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CC1A42"/>
    <w:multiLevelType w:val="hybridMultilevel"/>
    <w:tmpl w:val="F490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5504C"/>
    <w:multiLevelType w:val="hybridMultilevel"/>
    <w:tmpl w:val="6EB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120DD"/>
    <w:multiLevelType w:val="hybridMultilevel"/>
    <w:tmpl w:val="06E6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724643">
    <w:abstractNumId w:val="3"/>
  </w:num>
  <w:num w:numId="2" w16cid:durableId="700714037">
    <w:abstractNumId w:val="13"/>
  </w:num>
  <w:num w:numId="3" w16cid:durableId="1380396534">
    <w:abstractNumId w:val="0"/>
  </w:num>
  <w:num w:numId="4" w16cid:durableId="1338117138">
    <w:abstractNumId w:val="8"/>
  </w:num>
  <w:num w:numId="5" w16cid:durableId="801924751">
    <w:abstractNumId w:val="6"/>
  </w:num>
  <w:num w:numId="6" w16cid:durableId="1011569191">
    <w:abstractNumId w:val="9"/>
  </w:num>
  <w:num w:numId="7" w16cid:durableId="1690721317">
    <w:abstractNumId w:val="4"/>
  </w:num>
  <w:num w:numId="8" w16cid:durableId="1375039704">
    <w:abstractNumId w:val="12"/>
  </w:num>
  <w:num w:numId="9" w16cid:durableId="561674669">
    <w:abstractNumId w:val="5"/>
  </w:num>
  <w:num w:numId="10" w16cid:durableId="39327124">
    <w:abstractNumId w:val="2"/>
  </w:num>
  <w:num w:numId="11" w16cid:durableId="1432705942">
    <w:abstractNumId w:val="11"/>
  </w:num>
  <w:num w:numId="12" w16cid:durableId="1614751495">
    <w:abstractNumId w:val="1"/>
  </w:num>
  <w:num w:numId="13" w16cid:durableId="1290474873">
    <w:abstractNumId w:val="7"/>
  </w:num>
  <w:num w:numId="14" w16cid:durableId="1012489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6/UsOMxiNkLFz2F1KdUSvBG4W5SjZPAjwaHcXj2d5bfVUZU+AB5bkQMs8UoEFczSQebBkL61t5LktZW4TzV3Dg==" w:salt="ubFhuGNaWo4vpHnwurJgSA=="/>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3A"/>
    <w:rsid w:val="000008AA"/>
    <w:rsid w:val="000103FE"/>
    <w:rsid w:val="00021E1D"/>
    <w:rsid w:val="0003358E"/>
    <w:rsid w:val="00041435"/>
    <w:rsid w:val="00053D40"/>
    <w:rsid w:val="00064CB3"/>
    <w:rsid w:val="00080004"/>
    <w:rsid w:val="00080B65"/>
    <w:rsid w:val="000A6CAE"/>
    <w:rsid w:val="000B6257"/>
    <w:rsid w:val="000C29D4"/>
    <w:rsid w:val="0011684D"/>
    <w:rsid w:val="0012546F"/>
    <w:rsid w:val="00131B79"/>
    <w:rsid w:val="00134515"/>
    <w:rsid w:val="00135EB7"/>
    <w:rsid w:val="001378CB"/>
    <w:rsid w:val="00144B14"/>
    <w:rsid w:val="00144EC0"/>
    <w:rsid w:val="0015044E"/>
    <w:rsid w:val="00151071"/>
    <w:rsid w:val="0015143A"/>
    <w:rsid w:val="00152310"/>
    <w:rsid w:val="0016758F"/>
    <w:rsid w:val="0017285E"/>
    <w:rsid w:val="00187B48"/>
    <w:rsid w:val="00196EF3"/>
    <w:rsid w:val="00197D34"/>
    <w:rsid w:val="001B221A"/>
    <w:rsid w:val="001D13D2"/>
    <w:rsid w:val="001D75A1"/>
    <w:rsid w:val="001F3862"/>
    <w:rsid w:val="001F497E"/>
    <w:rsid w:val="002004AD"/>
    <w:rsid w:val="00204D0C"/>
    <w:rsid w:val="00236473"/>
    <w:rsid w:val="002577D8"/>
    <w:rsid w:val="00261DBC"/>
    <w:rsid w:val="002747B2"/>
    <w:rsid w:val="00275389"/>
    <w:rsid w:val="002908C5"/>
    <w:rsid w:val="0029425F"/>
    <w:rsid w:val="002A0E16"/>
    <w:rsid w:val="002A7A38"/>
    <w:rsid w:val="002B091C"/>
    <w:rsid w:val="002B5E08"/>
    <w:rsid w:val="002B7CB9"/>
    <w:rsid w:val="002C5EB5"/>
    <w:rsid w:val="002E1AEF"/>
    <w:rsid w:val="002F3F2C"/>
    <w:rsid w:val="00300F02"/>
    <w:rsid w:val="00311B3F"/>
    <w:rsid w:val="00314E7C"/>
    <w:rsid w:val="00317C0B"/>
    <w:rsid w:val="003230F1"/>
    <w:rsid w:val="00335743"/>
    <w:rsid w:val="00341F67"/>
    <w:rsid w:val="00353E0D"/>
    <w:rsid w:val="00357676"/>
    <w:rsid w:val="00362F00"/>
    <w:rsid w:val="00371B70"/>
    <w:rsid w:val="003872E8"/>
    <w:rsid w:val="003943CE"/>
    <w:rsid w:val="00397906"/>
    <w:rsid w:val="00397D9A"/>
    <w:rsid w:val="003A46D4"/>
    <w:rsid w:val="003B6B20"/>
    <w:rsid w:val="003C5773"/>
    <w:rsid w:val="003C6301"/>
    <w:rsid w:val="003E0E29"/>
    <w:rsid w:val="003E7873"/>
    <w:rsid w:val="004019E1"/>
    <w:rsid w:val="00404061"/>
    <w:rsid w:val="00407B70"/>
    <w:rsid w:val="004323DB"/>
    <w:rsid w:val="00452DF2"/>
    <w:rsid w:val="00453E84"/>
    <w:rsid w:val="0046154B"/>
    <w:rsid w:val="004743A8"/>
    <w:rsid w:val="004773AE"/>
    <w:rsid w:val="004869CC"/>
    <w:rsid w:val="00490101"/>
    <w:rsid w:val="004A1E40"/>
    <w:rsid w:val="004A1E5D"/>
    <w:rsid w:val="004B03D9"/>
    <w:rsid w:val="004C4587"/>
    <w:rsid w:val="004C7898"/>
    <w:rsid w:val="004D0CE8"/>
    <w:rsid w:val="004D5367"/>
    <w:rsid w:val="004F1A68"/>
    <w:rsid w:val="004F7EEC"/>
    <w:rsid w:val="0051310B"/>
    <w:rsid w:val="00521AB0"/>
    <w:rsid w:val="005250DB"/>
    <w:rsid w:val="0055080D"/>
    <w:rsid w:val="0056184D"/>
    <w:rsid w:val="0056669F"/>
    <w:rsid w:val="005744C9"/>
    <w:rsid w:val="00597CE6"/>
    <w:rsid w:val="005A0AA8"/>
    <w:rsid w:val="005A6093"/>
    <w:rsid w:val="005B6EF4"/>
    <w:rsid w:val="005C2DD9"/>
    <w:rsid w:val="005C6A87"/>
    <w:rsid w:val="005D67AA"/>
    <w:rsid w:val="005F0B2C"/>
    <w:rsid w:val="006021C5"/>
    <w:rsid w:val="00604929"/>
    <w:rsid w:val="00631AD3"/>
    <w:rsid w:val="00635B0B"/>
    <w:rsid w:val="00641081"/>
    <w:rsid w:val="00643D98"/>
    <w:rsid w:val="0066096D"/>
    <w:rsid w:val="00660E8D"/>
    <w:rsid w:val="006974B8"/>
    <w:rsid w:val="006A08D6"/>
    <w:rsid w:val="006B5345"/>
    <w:rsid w:val="006C3567"/>
    <w:rsid w:val="006C3915"/>
    <w:rsid w:val="006C40AD"/>
    <w:rsid w:val="006E7877"/>
    <w:rsid w:val="006F3846"/>
    <w:rsid w:val="006F65EE"/>
    <w:rsid w:val="00756AD8"/>
    <w:rsid w:val="0077035B"/>
    <w:rsid w:val="007732AC"/>
    <w:rsid w:val="00774803"/>
    <w:rsid w:val="007B262F"/>
    <w:rsid w:val="007B6A5D"/>
    <w:rsid w:val="007B78FD"/>
    <w:rsid w:val="007D2AC2"/>
    <w:rsid w:val="007D2F49"/>
    <w:rsid w:val="007D4D79"/>
    <w:rsid w:val="007D59FB"/>
    <w:rsid w:val="007E5CEF"/>
    <w:rsid w:val="007E6237"/>
    <w:rsid w:val="007E6467"/>
    <w:rsid w:val="00812252"/>
    <w:rsid w:val="0082381A"/>
    <w:rsid w:val="0082700A"/>
    <w:rsid w:val="00845F3C"/>
    <w:rsid w:val="00846F81"/>
    <w:rsid w:val="00847F35"/>
    <w:rsid w:val="008506EF"/>
    <w:rsid w:val="00852E7D"/>
    <w:rsid w:val="008641B7"/>
    <w:rsid w:val="00874D71"/>
    <w:rsid w:val="00880443"/>
    <w:rsid w:val="00887467"/>
    <w:rsid w:val="00893BCC"/>
    <w:rsid w:val="00895297"/>
    <w:rsid w:val="008967A7"/>
    <w:rsid w:val="00897587"/>
    <w:rsid w:val="008B1B33"/>
    <w:rsid w:val="008C19E4"/>
    <w:rsid w:val="008C600A"/>
    <w:rsid w:val="008D153C"/>
    <w:rsid w:val="008D1A7F"/>
    <w:rsid w:val="008D58B4"/>
    <w:rsid w:val="008E137C"/>
    <w:rsid w:val="008E5C2A"/>
    <w:rsid w:val="008F09BB"/>
    <w:rsid w:val="008F3087"/>
    <w:rsid w:val="00900C45"/>
    <w:rsid w:val="0090166A"/>
    <w:rsid w:val="009205DE"/>
    <w:rsid w:val="009229DF"/>
    <w:rsid w:val="00931998"/>
    <w:rsid w:val="0093381F"/>
    <w:rsid w:val="00934DD0"/>
    <w:rsid w:val="00941C64"/>
    <w:rsid w:val="00943D69"/>
    <w:rsid w:val="00956E29"/>
    <w:rsid w:val="009647BE"/>
    <w:rsid w:val="0097267D"/>
    <w:rsid w:val="00976198"/>
    <w:rsid w:val="00983550"/>
    <w:rsid w:val="00985CA9"/>
    <w:rsid w:val="009A7055"/>
    <w:rsid w:val="009C7819"/>
    <w:rsid w:val="009D3AAA"/>
    <w:rsid w:val="009D75A1"/>
    <w:rsid w:val="009E0634"/>
    <w:rsid w:val="009E5E66"/>
    <w:rsid w:val="009F68A0"/>
    <w:rsid w:val="00A05620"/>
    <w:rsid w:val="00A06ED3"/>
    <w:rsid w:val="00A14F4E"/>
    <w:rsid w:val="00A25F05"/>
    <w:rsid w:val="00A61CAB"/>
    <w:rsid w:val="00A631EF"/>
    <w:rsid w:val="00A85D21"/>
    <w:rsid w:val="00A92777"/>
    <w:rsid w:val="00A97EA6"/>
    <w:rsid w:val="00AA206D"/>
    <w:rsid w:val="00AB4323"/>
    <w:rsid w:val="00AD5C55"/>
    <w:rsid w:val="00AE21C1"/>
    <w:rsid w:val="00AE42E1"/>
    <w:rsid w:val="00AF2C3D"/>
    <w:rsid w:val="00B13C06"/>
    <w:rsid w:val="00B20DF1"/>
    <w:rsid w:val="00B43312"/>
    <w:rsid w:val="00B471F7"/>
    <w:rsid w:val="00B54552"/>
    <w:rsid w:val="00B57721"/>
    <w:rsid w:val="00B63C63"/>
    <w:rsid w:val="00B75D24"/>
    <w:rsid w:val="00B83F6C"/>
    <w:rsid w:val="00B871DC"/>
    <w:rsid w:val="00B93877"/>
    <w:rsid w:val="00BA0EED"/>
    <w:rsid w:val="00BA4383"/>
    <w:rsid w:val="00BA6633"/>
    <w:rsid w:val="00BB028F"/>
    <w:rsid w:val="00BB2580"/>
    <w:rsid w:val="00BB388E"/>
    <w:rsid w:val="00BD39FD"/>
    <w:rsid w:val="00BD4F5D"/>
    <w:rsid w:val="00C154EC"/>
    <w:rsid w:val="00C17D8E"/>
    <w:rsid w:val="00C3404F"/>
    <w:rsid w:val="00C348EF"/>
    <w:rsid w:val="00C530EC"/>
    <w:rsid w:val="00C6191B"/>
    <w:rsid w:val="00C83BC7"/>
    <w:rsid w:val="00CA2325"/>
    <w:rsid w:val="00CA5989"/>
    <w:rsid w:val="00CC06D4"/>
    <w:rsid w:val="00CC0D70"/>
    <w:rsid w:val="00CC6436"/>
    <w:rsid w:val="00CC738B"/>
    <w:rsid w:val="00D15EB1"/>
    <w:rsid w:val="00D24BE1"/>
    <w:rsid w:val="00D3435A"/>
    <w:rsid w:val="00D476B9"/>
    <w:rsid w:val="00D50422"/>
    <w:rsid w:val="00D55766"/>
    <w:rsid w:val="00D563E5"/>
    <w:rsid w:val="00D6141B"/>
    <w:rsid w:val="00D62D37"/>
    <w:rsid w:val="00D805A8"/>
    <w:rsid w:val="00D90CC1"/>
    <w:rsid w:val="00D91374"/>
    <w:rsid w:val="00DA3131"/>
    <w:rsid w:val="00DA500D"/>
    <w:rsid w:val="00DB272B"/>
    <w:rsid w:val="00E043CF"/>
    <w:rsid w:val="00E1202C"/>
    <w:rsid w:val="00E20F17"/>
    <w:rsid w:val="00E30E5A"/>
    <w:rsid w:val="00E418AF"/>
    <w:rsid w:val="00E43272"/>
    <w:rsid w:val="00E54F16"/>
    <w:rsid w:val="00E812F0"/>
    <w:rsid w:val="00E81F54"/>
    <w:rsid w:val="00E93D2D"/>
    <w:rsid w:val="00EB0919"/>
    <w:rsid w:val="00EB1089"/>
    <w:rsid w:val="00F14EAF"/>
    <w:rsid w:val="00F434AA"/>
    <w:rsid w:val="00F528C7"/>
    <w:rsid w:val="00F6780E"/>
    <w:rsid w:val="00F75A37"/>
    <w:rsid w:val="00F84C59"/>
    <w:rsid w:val="00F856FB"/>
    <w:rsid w:val="00F97917"/>
    <w:rsid w:val="00FA56C2"/>
    <w:rsid w:val="00FB225E"/>
    <w:rsid w:val="00FC1FD3"/>
    <w:rsid w:val="00FD67EA"/>
    <w:rsid w:val="00FE7D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1E60"/>
  <w15:chartTrackingRefBased/>
  <w15:docId w15:val="{1C25BFB6-CDBB-495E-AB89-771EF452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43A"/>
    <w:pPr>
      <w:spacing w:after="0" w:line="240" w:lineRule="auto"/>
    </w:pPr>
  </w:style>
  <w:style w:type="paragraph" w:styleId="Header">
    <w:name w:val="header"/>
    <w:basedOn w:val="Normal"/>
    <w:link w:val="HeaderChar"/>
    <w:uiPriority w:val="99"/>
    <w:unhideWhenUsed/>
    <w:rsid w:val="0011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4D"/>
  </w:style>
  <w:style w:type="paragraph" w:styleId="Footer">
    <w:name w:val="footer"/>
    <w:basedOn w:val="Normal"/>
    <w:link w:val="FooterChar"/>
    <w:uiPriority w:val="99"/>
    <w:unhideWhenUsed/>
    <w:rsid w:val="0011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4D"/>
  </w:style>
  <w:style w:type="table" w:styleId="TableGrid">
    <w:name w:val="Table Grid"/>
    <w:basedOn w:val="TableNormal"/>
    <w:uiPriority w:val="39"/>
    <w:rsid w:val="0093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467"/>
    <w:rPr>
      <w:color w:val="0563C1" w:themeColor="hyperlink"/>
      <w:u w:val="single"/>
    </w:rPr>
  </w:style>
  <w:style w:type="character" w:styleId="UnresolvedMention">
    <w:name w:val="Unresolved Mention"/>
    <w:basedOn w:val="DefaultParagraphFont"/>
    <w:uiPriority w:val="99"/>
    <w:semiHidden/>
    <w:unhideWhenUsed/>
    <w:rsid w:val="00887467"/>
    <w:rPr>
      <w:color w:val="605E5C"/>
      <w:shd w:val="clear" w:color="auto" w:fill="E1DFDD"/>
    </w:rPr>
  </w:style>
  <w:style w:type="paragraph" w:styleId="Revision">
    <w:name w:val="Revision"/>
    <w:hidden/>
    <w:uiPriority w:val="99"/>
    <w:semiHidden/>
    <w:rsid w:val="008C600A"/>
    <w:pPr>
      <w:spacing w:after="0" w:line="240" w:lineRule="auto"/>
    </w:pPr>
  </w:style>
  <w:style w:type="character" w:styleId="CommentReference">
    <w:name w:val="annotation reference"/>
    <w:basedOn w:val="DefaultParagraphFont"/>
    <w:uiPriority w:val="99"/>
    <w:semiHidden/>
    <w:unhideWhenUsed/>
    <w:rsid w:val="001F3862"/>
    <w:rPr>
      <w:sz w:val="16"/>
      <w:szCs w:val="16"/>
    </w:rPr>
  </w:style>
  <w:style w:type="paragraph" w:styleId="CommentText">
    <w:name w:val="annotation text"/>
    <w:basedOn w:val="Normal"/>
    <w:link w:val="CommentTextChar"/>
    <w:uiPriority w:val="99"/>
    <w:unhideWhenUsed/>
    <w:rsid w:val="001F3862"/>
    <w:pPr>
      <w:spacing w:line="240" w:lineRule="auto"/>
    </w:pPr>
    <w:rPr>
      <w:sz w:val="20"/>
      <w:szCs w:val="20"/>
    </w:rPr>
  </w:style>
  <w:style w:type="character" w:customStyle="1" w:styleId="CommentTextChar">
    <w:name w:val="Comment Text Char"/>
    <w:basedOn w:val="DefaultParagraphFont"/>
    <w:link w:val="CommentText"/>
    <w:uiPriority w:val="99"/>
    <w:rsid w:val="001F3862"/>
    <w:rPr>
      <w:sz w:val="20"/>
      <w:szCs w:val="20"/>
    </w:rPr>
  </w:style>
  <w:style w:type="paragraph" w:styleId="CommentSubject">
    <w:name w:val="annotation subject"/>
    <w:basedOn w:val="CommentText"/>
    <w:next w:val="CommentText"/>
    <w:link w:val="CommentSubjectChar"/>
    <w:uiPriority w:val="99"/>
    <w:semiHidden/>
    <w:unhideWhenUsed/>
    <w:rsid w:val="001F3862"/>
    <w:rPr>
      <w:b/>
      <w:bCs/>
    </w:rPr>
  </w:style>
  <w:style w:type="character" w:customStyle="1" w:styleId="CommentSubjectChar">
    <w:name w:val="Comment Subject Char"/>
    <w:basedOn w:val="CommentTextChar"/>
    <w:link w:val="CommentSubject"/>
    <w:uiPriority w:val="99"/>
    <w:semiHidden/>
    <w:rsid w:val="001F3862"/>
    <w:rPr>
      <w:b/>
      <w:bCs/>
      <w:sz w:val="20"/>
      <w:szCs w:val="20"/>
    </w:rPr>
  </w:style>
  <w:style w:type="character" w:styleId="FollowedHyperlink">
    <w:name w:val="FollowedHyperlink"/>
    <w:basedOn w:val="DefaultParagraphFont"/>
    <w:uiPriority w:val="99"/>
    <w:semiHidden/>
    <w:unhideWhenUsed/>
    <w:rsid w:val="008D58B4"/>
    <w:rPr>
      <w:color w:val="954F72" w:themeColor="followedHyperlink"/>
      <w:u w:val="single"/>
    </w:rPr>
  </w:style>
  <w:style w:type="paragraph" w:styleId="ListParagraph">
    <w:name w:val="List Paragraph"/>
    <w:basedOn w:val="Normal"/>
    <w:uiPriority w:val="34"/>
    <w:qFormat/>
    <w:rsid w:val="00BA4383"/>
    <w:pPr>
      <w:ind w:left="720"/>
      <w:contextualSpacing/>
    </w:pPr>
  </w:style>
  <w:style w:type="paragraph" w:styleId="NormalWeb">
    <w:name w:val="Normal (Web)"/>
    <w:basedOn w:val="Normal"/>
    <w:uiPriority w:val="99"/>
    <w:semiHidden/>
    <w:unhideWhenUsed/>
    <w:rsid w:val="00FC1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ncipal.com/sustainability/esg-strategy" TargetMode="External"/><Relationship Id="rId18" Type="http://schemas.openxmlformats.org/officeDocument/2006/relationships/hyperlink" Target="https://www.principal.com/sustainability/esg-strateg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opworkplaces.com/company/the-principal-financial/desmoinesregister/" TargetMode="External"/><Relationship Id="rId7" Type="http://schemas.openxmlformats.org/officeDocument/2006/relationships/webSettings" Target="webSettings.xml"/><Relationship Id="rId12" Type="http://schemas.openxmlformats.org/officeDocument/2006/relationships/hyperlink" Target="https://investors.principal.com/investor-relations/news-and-events/financial-press-releases/press-release-details/2023/Principal-Financial-Group-Announces-2023-and-Long-Term-Outlook/default.aspx" TargetMode="External"/><Relationship Id="rId17" Type="http://schemas.openxmlformats.org/officeDocument/2006/relationships/hyperlink" Target="https://hbr.org/1999/07/are-you-paying-too-much-for-that-acquis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icagobooth.edu/review/forget-what-youve-read-most-mergers-create-value" TargetMode="External"/><Relationship Id="rId20" Type="http://schemas.openxmlformats.org/officeDocument/2006/relationships/hyperlink" Target="https://secure02.principal.com/publicvsupply/GetFile?fm=DD730&amp;ty=VOP&amp;EXT=.VOP&amp;_gl=1*zvw7qn*_ga*MTIxMDk5NTI4My4xNjcyODc1OTcy*_ga_GP3ZP21MGH*MTY3NzYyODE0Ni41LjEuMTY3NzYyODU5NC4wLjAu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pworkplaces.com/company/the-principal-financial/desmoinesregiste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ckinsey.com/capabilities/strategy-and-corporate-finance/our-insights/how-one-approach-to-m-and-a-is-more-likely-to-create-value-than-all-oth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cure02.principal.com/publicvsupply/GetFile?fm=DD730&amp;ty=VOP&amp;EXT=.VOP&amp;_gl=1*zvw7qn*_ga*MTIxMDk5NTI4My4xNjcyODc1OTcy*_ga_GP3ZP21MGH*MTY3NzYyODE0Ni41LjEuMTY3NzYyODU5NC4wLjAuMA.." TargetMode="External"/><Relationship Id="rId19" Type="http://schemas.openxmlformats.org/officeDocument/2006/relationships/hyperlink" Target="https://www.principalam.com/about-us/e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incipalam.com/about-us/esg" TargetMode="External"/><Relationship Id="rId22" Type="http://schemas.openxmlformats.org/officeDocument/2006/relationships/hyperlink" Target="https://investors.principal.com/investor-relations/news-and-events/financial-press-releases/press-release-details/2023/Principal-Financial-Group-Announces-2023-and-Long-Term-Outlook/default.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656C7CE42CF46AC09EB45F48988C7" ma:contentTypeVersion="15" ma:contentTypeDescription="Create a new document." ma:contentTypeScope="" ma:versionID="fa5f81f68c3d8de1e3fbed27770184cd">
  <xsd:schema xmlns:xsd="http://www.w3.org/2001/XMLSchema" xmlns:xs="http://www.w3.org/2001/XMLSchema" xmlns:p="http://schemas.microsoft.com/office/2006/metadata/properties" xmlns:ns1="http://schemas.microsoft.com/sharepoint/v3" xmlns:ns3="a6544b0c-9b07-42b5-a063-c0c6ee5690f6" xmlns:ns4="f3522682-f1b9-4150-9d99-4e0794c5691b" targetNamespace="http://schemas.microsoft.com/office/2006/metadata/properties" ma:root="true" ma:fieldsID="6f3388ab07e859c9a7cdb67871e68139" ns1:_="" ns3:_="" ns4:_="">
    <xsd:import namespace="http://schemas.microsoft.com/sharepoint/v3"/>
    <xsd:import namespace="a6544b0c-9b07-42b5-a063-c0c6ee5690f6"/>
    <xsd:import namespace="f3522682-f1b9-4150-9d99-4e0794c569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44b0c-9b07-42b5-a063-c0c6ee569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22682-f1b9-4150-9d99-4e0794c56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6544b0c-9b07-42b5-a063-c0c6ee5690f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E456E6-63A3-4076-8172-24DF339C01E8}">
  <ds:schemaRefs>
    <ds:schemaRef ds:uri="http://schemas.microsoft.com/sharepoint/v3/contenttype/forms"/>
  </ds:schemaRefs>
</ds:datastoreItem>
</file>

<file path=customXml/itemProps2.xml><?xml version="1.0" encoding="utf-8"?>
<ds:datastoreItem xmlns:ds="http://schemas.openxmlformats.org/officeDocument/2006/customXml" ds:itemID="{CE23F043-0132-4E89-BF4A-5FE3D987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44b0c-9b07-42b5-a063-c0c6ee5690f6"/>
    <ds:schemaRef ds:uri="f3522682-f1b9-4150-9d99-4e0794c5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364A8-2006-43A8-A2C1-0EAD1C0EFFEC}">
  <ds:schemaRefs>
    <ds:schemaRef ds:uri="http://schemas.microsoft.com/office/2006/metadata/properties"/>
    <ds:schemaRef ds:uri="http://schemas.microsoft.com/office/infopath/2007/PartnerControls"/>
    <ds:schemaRef ds:uri="a6544b0c-9b07-42b5-a063-c0c6ee5690f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2513</Words>
  <Characters>14326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Jeff</dc:creator>
  <cp:keywords/>
  <dc:description/>
  <cp:lastModifiedBy>Inchul Suh</cp:lastModifiedBy>
  <cp:revision>2</cp:revision>
  <cp:lastPrinted>2023-03-22T14:27:00Z</cp:lastPrinted>
  <dcterms:created xsi:type="dcterms:W3CDTF">2023-03-23T19:41:00Z</dcterms:created>
  <dcterms:modified xsi:type="dcterms:W3CDTF">2023-03-23T19:41:00Z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0x0101004E0656C7CE42CF46AC09EB45F48988C7</vt:lpwstr>
  </property>
  <property fmtid="{D5CDD505-2E9C-101B-9397-08002B2CF9AE}" pid="3" name="MSIP_Label_f1a85edf-1344-4c6a-a94e-0a9833d749f3_Enabled">
    <vt:lpwstr>true</vt:lpwstr>
  </property>
  <property fmtid="{D5CDD505-2E9C-101B-9397-08002B2CF9AE}" pid="4" name="MSIP_Label_f1a85edf-1344-4c6a-a94e-0a9833d749f3_SetDate">
    <vt:lpwstr>2023-03-23T14:08:45Z</vt:lpwstr>
  </property>
  <property fmtid="{D5CDD505-2E9C-101B-9397-08002B2CF9AE}" pid="5" name="MSIP_Label_f1a85edf-1344-4c6a-a94e-0a9833d749f3_Method">
    <vt:lpwstr>Privileged</vt:lpwstr>
  </property>
  <property fmtid="{D5CDD505-2E9C-101B-9397-08002B2CF9AE}" pid="6" name="MSIP_Label_f1a85edf-1344-4c6a-a94e-0a9833d749f3_Name">
    <vt:lpwstr>Personal</vt:lpwstr>
  </property>
  <property fmtid="{D5CDD505-2E9C-101B-9397-08002B2CF9AE}" pid="7" name="MSIP_Label_f1a85edf-1344-4c6a-a94e-0a9833d749f3_SiteId">
    <vt:lpwstr>3bea478c-1684-4a8c-8e85-045ec54ba430</vt:lpwstr>
  </property>
  <property fmtid="{D5CDD505-2E9C-101B-9397-08002B2CF9AE}" pid="8" name="MSIP_Label_f1a85edf-1344-4c6a-a94e-0a9833d749f3_ActionId">
    <vt:lpwstr>5633eb2c-cd35-4e7c-ac7f-c38f6575f47b</vt:lpwstr>
  </property>
  <property fmtid="{D5CDD505-2E9C-101B-9397-08002B2CF9AE}" pid="9" name="MSIP_Label_f1a85edf-1344-4c6a-a94e-0a9833d749f3_ContentBits">
    <vt:lpwstr>2</vt:lpwstr>
  </property>
</Properties>
</file>